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0A3E3" w14:textId="4F3BFBFB" w:rsidR="00607D4D" w:rsidRPr="006B279C" w:rsidRDefault="00831A89" w:rsidP="00607D4D">
      <w:pPr>
        <w:widowControl w:val="0"/>
        <w:jc w:val="left"/>
        <w:rPr>
          <w:b/>
        </w:rPr>
      </w:pPr>
      <w:r>
        <w:rPr>
          <w:b/>
        </w:rPr>
        <w:t>G</w:t>
      </w:r>
      <w:r w:rsidR="00607D4D" w:rsidRPr="006B279C">
        <w:rPr>
          <w:b/>
        </w:rPr>
        <w:t>reening the ‘</w:t>
      </w:r>
      <w:r w:rsidR="00F40929" w:rsidRPr="006B279C">
        <w:rPr>
          <w:b/>
        </w:rPr>
        <w:t>l</w:t>
      </w:r>
      <w:r w:rsidR="00607D4D" w:rsidRPr="006B279C">
        <w:rPr>
          <w:b/>
        </w:rPr>
        <w:t>ast’</w:t>
      </w:r>
      <w:r w:rsidR="00F40929" w:rsidRPr="006B279C">
        <w:rPr>
          <w:b/>
        </w:rPr>
        <w:t xml:space="preserve"> m</w:t>
      </w:r>
      <w:r w:rsidR="00607D4D" w:rsidRPr="006B279C">
        <w:rPr>
          <w:b/>
        </w:rPr>
        <w:t>ile</w:t>
      </w:r>
      <w:r w:rsidR="00F40929" w:rsidRPr="006B279C">
        <w:rPr>
          <w:b/>
        </w:rPr>
        <w:t xml:space="preserve"> to t</w:t>
      </w:r>
      <w:r w:rsidR="00607D4D" w:rsidRPr="006B279C">
        <w:rPr>
          <w:b/>
        </w:rPr>
        <w:t xml:space="preserve">ransits: </w:t>
      </w:r>
      <w:r w:rsidR="00F30E9B" w:rsidRPr="006B279C">
        <w:rPr>
          <w:b/>
        </w:rPr>
        <w:t>Place making for</w:t>
      </w:r>
      <w:r w:rsidR="00F40929" w:rsidRPr="006B279C">
        <w:rPr>
          <w:b/>
        </w:rPr>
        <w:t xml:space="preserve"> healthier and sustainable mobility</w:t>
      </w:r>
      <w:r w:rsidR="00607D4D" w:rsidRPr="006B279C">
        <w:rPr>
          <w:b/>
        </w:rPr>
        <w:t xml:space="preserve"> </w:t>
      </w:r>
    </w:p>
    <w:p w14:paraId="7EBBF8AE" w14:textId="77777777" w:rsidR="00F30E9B" w:rsidRPr="00450891" w:rsidRDefault="00F30E9B" w:rsidP="00607D4D">
      <w:pPr>
        <w:widowControl w:val="0"/>
        <w:jc w:val="left"/>
        <w:rPr>
          <w:sz w:val="20"/>
        </w:rPr>
      </w:pPr>
    </w:p>
    <w:p w14:paraId="0C40146A" w14:textId="0CB10BC3" w:rsidR="00F30E9B" w:rsidRPr="00450891" w:rsidRDefault="006B279C" w:rsidP="00607D4D">
      <w:pPr>
        <w:widowControl w:val="0"/>
        <w:jc w:val="left"/>
        <w:rPr>
          <w:sz w:val="20"/>
        </w:rPr>
      </w:pPr>
      <w:r>
        <w:rPr>
          <w:sz w:val="20"/>
        </w:rPr>
        <w:t xml:space="preserve">Author:  </w:t>
      </w:r>
      <w:proofErr w:type="spellStart"/>
      <w:r w:rsidR="00F30E9B" w:rsidRPr="00450891">
        <w:rPr>
          <w:sz w:val="20"/>
        </w:rPr>
        <w:t>Chidambara</w:t>
      </w:r>
      <w:proofErr w:type="spellEnd"/>
      <w:r w:rsidR="00F30E9B" w:rsidRPr="00450891">
        <w:rPr>
          <w:sz w:val="20"/>
        </w:rPr>
        <w:t xml:space="preserve"> (Ms.)</w:t>
      </w:r>
    </w:p>
    <w:p w14:paraId="396A45E9" w14:textId="28DDD868" w:rsidR="006B279C" w:rsidRDefault="006B279C" w:rsidP="00607D4D">
      <w:pPr>
        <w:widowControl w:val="0"/>
        <w:jc w:val="left"/>
        <w:rPr>
          <w:sz w:val="20"/>
        </w:rPr>
      </w:pPr>
      <w:r>
        <w:rPr>
          <w:sz w:val="20"/>
        </w:rPr>
        <w:tab/>
        <w:t>Asst. Professor</w:t>
      </w:r>
      <w:r w:rsidR="00F30E9B" w:rsidRPr="00450891">
        <w:rPr>
          <w:sz w:val="20"/>
        </w:rPr>
        <w:t xml:space="preserve">, </w:t>
      </w:r>
    </w:p>
    <w:p w14:paraId="0BE8E8AC" w14:textId="56F8FACF" w:rsidR="00F30E9B" w:rsidRPr="00450891" w:rsidRDefault="00F30E9B" w:rsidP="006B279C">
      <w:pPr>
        <w:widowControl w:val="0"/>
        <w:ind w:left="720"/>
        <w:jc w:val="left"/>
        <w:rPr>
          <w:sz w:val="20"/>
        </w:rPr>
      </w:pPr>
      <w:proofErr w:type="spellStart"/>
      <w:r w:rsidRPr="00450891">
        <w:rPr>
          <w:sz w:val="20"/>
        </w:rPr>
        <w:t>Deptt</w:t>
      </w:r>
      <w:proofErr w:type="spellEnd"/>
      <w:r w:rsidRPr="00450891">
        <w:rPr>
          <w:sz w:val="20"/>
        </w:rPr>
        <w:t>. Of Urban Planning</w:t>
      </w:r>
      <w:r w:rsidR="006B279C">
        <w:rPr>
          <w:sz w:val="20"/>
        </w:rPr>
        <w:t xml:space="preserve">, </w:t>
      </w:r>
      <w:r w:rsidRPr="00450891">
        <w:rPr>
          <w:sz w:val="20"/>
        </w:rPr>
        <w:t>School of Planning and Architecture, New Delhi</w:t>
      </w:r>
    </w:p>
    <w:p w14:paraId="0132B66D" w14:textId="20039D54" w:rsidR="00F30E9B" w:rsidRPr="00450891" w:rsidRDefault="006B279C" w:rsidP="00607D4D">
      <w:pPr>
        <w:widowControl w:val="0"/>
        <w:jc w:val="left"/>
        <w:rPr>
          <w:sz w:val="20"/>
        </w:rPr>
      </w:pPr>
      <w:r>
        <w:rPr>
          <w:sz w:val="20"/>
        </w:rPr>
        <w:tab/>
      </w:r>
      <w:r w:rsidR="00F30E9B" w:rsidRPr="00450891">
        <w:rPr>
          <w:sz w:val="20"/>
        </w:rPr>
        <w:t xml:space="preserve">E-mail: </w:t>
      </w:r>
      <w:hyperlink r:id="rId6" w:history="1">
        <w:r w:rsidR="00F30E9B" w:rsidRPr="00450891">
          <w:rPr>
            <w:rStyle w:val="Hyperlink"/>
            <w:sz w:val="20"/>
          </w:rPr>
          <w:t>chidambara17@gmail.com</w:t>
        </w:r>
      </w:hyperlink>
    </w:p>
    <w:p w14:paraId="118D1FF5" w14:textId="28646481" w:rsidR="00F30E9B" w:rsidRPr="00450891" w:rsidRDefault="00F30E9B" w:rsidP="00607D4D">
      <w:pPr>
        <w:widowControl w:val="0"/>
        <w:jc w:val="left"/>
        <w:rPr>
          <w:sz w:val="20"/>
        </w:rPr>
      </w:pPr>
      <w:r w:rsidRPr="00450891">
        <w:rPr>
          <w:sz w:val="20"/>
        </w:rPr>
        <w:tab/>
        <w:t>Mobile: +91-9971965161</w:t>
      </w:r>
    </w:p>
    <w:p w14:paraId="6E0FC1DC" w14:textId="77777777" w:rsidR="00607D4D" w:rsidRPr="00450891" w:rsidRDefault="00607D4D" w:rsidP="00607D4D">
      <w:pPr>
        <w:widowControl w:val="0"/>
        <w:jc w:val="left"/>
      </w:pPr>
    </w:p>
    <w:p w14:paraId="6D8D01AE" w14:textId="77777777" w:rsidR="00607D4D" w:rsidRPr="00450891" w:rsidRDefault="00F30E9B" w:rsidP="00607D4D">
      <w:pPr>
        <w:widowControl w:val="0"/>
        <w:jc w:val="left"/>
        <w:rPr>
          <w:b/>
        </w:rPr>
      </w:pPr>
      <w:r w:rsidRPr="00450891">
        <w:rPr>
          <w:b/>
          <w:sz w:val="18"/>
        </w:rPr>
        <w:t xml:space="preserve">Sub-theme: </w:t>
      </w:r>
      <w:r w:rsidR="00607D4D" w:rsidRPr="00450891">
        <w:rPr>
          <w:b/>
          <w:sz w:val="18"/>
        </w:rPr>
        <w:t>Multi-modal mobility</w:t>
      </w:r>
    </w:p>
    <w:p w14:paraId="18E81876" w14:textId="77777777" w:rsidR="00933B3C" w:rsidRPr="00450891" w:rsidRDefault="00933B3C" w:rsidP="00607D4D">
      <w:pPr>
        <w:widowControl w:val="0"/>
        <w:jc w:val="left"/>
        <w:rPr>
          <w:color w:val="000000"/>
          <w:szCs w:val="20"/>
          <w:shd w:val="clear" w:color="auto" w:fill="FFFFFF"/>
          <w:lang w:val="en-US"/>
        </w:rPr>
      </w:pPr>
    </w:p>
    <w:p w14:paraId="58CAA7B4" w14:textId="7821F834" w:rsidR="00BA4B60" w:rsidRDefault="00BA4B60" w:rsidP="00755B90">
      <w:pPr>
        <w:widowControl w:val="0"/>
        <w:jc w:val="left"/>
        <w:rPr>
          <w:b/>
        </w:rPr>
      </w:pPr>
      <w:r>
        <w:rPr>
          <w:b/>
        </w:rPr>
        <w:t>Abstract</w:t>
      </w:r>
    </w:p>
    <w:p w14:paraId="4896888F" w14:textId="52FEA47F" w:rsidR="00BA4B60" w:rsidRPr="00BA4B60" w:rsidRDefault="00BA4B60" w:rsidP="00A24D76">
      <w:pPr>
        <w:widowControl w:val="0"/>
        <w:rPr>
          <w:lang w:val="en-US"/>
        </w:rPr>
      </w:pPr>
      <w:r w:rsidRPr="00BA4B60">
        <w:t xml:space="preserve">Sustainable mobility concerns have seen cities introducing mass transit systems, but travel choice factors such as accessibility, convenience, comfort, and safety </w:t>
      </w:r>
      <w:proofErr w:type="gramStart"/>
      <w:r w:rsidRPr="00BA4B60">
        <w:t>can not</w:t>
      </w:r>
      <w:proofErr w:type="gramEnd"/>
      <w:r w:rsidRPr="00BA4B60">
        <w:t xml:space="preserve"> be addressed through a transit system alone. </w:t>
      </w:r>
      <w:r w:rsidRPr="00BA4B60">
        <w:rPr>
          <w:lang w:val="en-US"/>
        </w:rPr>
        <w:t xml:space="preserve">The lack of suitable last mile options discourages private mode users to shift to public transport. </w:t>
      </w:r>
      <w:r w:rsidRPr="00BA4B60">
        <w:t>For a larg</w:t>
      </w:r>
      <w:bookmarkStart w:id="0" w:name="_GoBack"/>
      <w:bookmarkEnd w:id="0"/>
      <w:r w:rsidRPr="00BA4B60">
        <w:t xml:space="preserve">er mass, </w:t>
      </w:r>
      <w:r w:rsidRPr="00BA4B60">
        <w:rPr>
          <w:lang w:val="en-US"/>
        </w:rPr>
        <w:t>cycling and walking are the only solutions for negotiating the last mile. Unsafe, uncomfortable last mile conditions compel transit commuters to use private modes for last mile connectivity, thereby generating massive parking demand at metro stations.</w:t>
      </w:r>
      <w:r>
        <w:rPr>
          <w:lang w:val="en-US"/>
        </w:rPr>
        <w:t xml:space="preserve"> </w:t>
      </w:r>
      <w:r w:rsidRPr="00BA4B60">
        <w:rPr>
          <w:lang w:val="en-US"/>
        </w:rPr>
        <w:t xml:space="preserve">The paper discusses the significance of creating apposite spaces and environment </w:t>
      </w:r>
      <w:r>
        <w:rPr>
          <w:lang w:val="en-US"/>
        </w:rPr>
        <w:t>for pedestrians</w:t>
      </w:r>
      <w:r w:rsidRPr="00BA4B60">
        <w:rPr>
          <w:lang w:val="en-US"/>
        </w:rPr>
        <w:t xml:space="preserve"> and </w:t>
      </w:r>
      <w:r>
        <w:rPr>
          <w:lang w:val="en-US"/>
        </w:rPr>
        <w:t xml:space="preserve">other </w:t>
      </w:r>
      <w:r w:rsidRPr="00BA4B60">
        <w:rPr>
          <w:lang w:val="en-US"/>
        </w:rPr>
        <w:t>non-</w:t>
      </w:r>
      <w:proofErr w:type="spellStart"/>
      <w:r w:rsidRPr="00BA4B60">
        <w:rPr>
          <w:lang w:val="en-US"/>
        </w:rPr>
        <w:t>motorised</w:t>
      </w:r>
      <w:proofErr w:type="spellEnd"/>
      <w:r w:rsidRPr="00BA4B60">
        <w:rPr>
          <w:lang w:val="en-US"/>
        </w:rPr>
        <w:t xml:space="preserve"> transport (NMT)</w:t>
      </w:r>
      <w:r>
        <w:rPr>
          <w:lang w:val="en-US"/>
        </w:rPr>
        <w:t xml:space="preserve"> </w:t>
      </w:r>
      <w:r w:rsidRPr="00BA4B60">
        <w:rPr>
          <w:lang w:val="en-US"/>
        </w:rPr>
        <w:t xml:space="preserve">as </w:t>
      </w:r>
      <w:r>
        <w:rPr>
          <w:lang w:val="en-US"/>
        </w:rPr>
        <w:t>‘</w:t>
      </w:r>
      <w:r w:rsidRPr="00BA4B60">
        <w:rPr>
          <w:lang w:val="en-US"/>
        </w:rPr>
        <w:t xml:space="preserve">green </w:t>
      </w:r>
      <w:r>
        <w:rPr>
          <w:lang w:val="en-US"/>
        </w:rPr>
        <w:t>mobility’</w:t>
      </w:r>
      <w:r w:rsidRPr="00BA4B60">
        <w:rPr>
          <w:lang w:val="en-US"/>
        </w:rPr>
        <w:t xml:space="preserve"> solutions for covering the last mile to transit systems, with a case study of </w:t>
      </w:r>
      <w:r>
        <w:rPr>
          <w:lang w:val="en-US"/>
        </w:rPr>
        <w:t>an</w:t>
      </w:r>
      <w:r w:rsidRPr="00BA4B60">
        <w:rPr>
          <w:lang w:val="en-US"/>
        </w:rPr>
        <w:t xml:space="preserve"> Indian cit</w:t>
      </w:r>
      <w:r>
        <w:rPr>
          <w:lang w:val="en-US"/>
        </w:rPr>
        <w:t>y</w:t>
      </w:r>
      <w:r w:rsidRPr="00BA4B60">
        <w:rPr>
          <w:lang w:val="en-US"/>
        </w:rPr>
        <w:t xml:space="preserve"> Delhi. It discusses user choices and behavior with respect to the quality of last mile at six metro (transit) stations in the city. The paper also highlights demand-generated green mobility solutions that have come up in the city and that need to be encouraged through integration in planning and policy making for transit systems. The study concludes that all transit system planning must mandatorily include integration with other modes, adequate spaces, and safe and smooth transfer for all modes. It also recommends planning for enhanced walking and cycling environment in a larger context that includes the catchment area around metro stations rather than station-centric planning.</w:t>
      </w:r>
    </w:p>
    <w:p w14:paraId="5201B9C1" w14:textId="77777777" w:rsidR="00BA4B60" w:rsidRPr="00BA4B60" w:rsidRDefault="00BA4B60" w:rsidP="00BA4B60">
      <w:pPr>
        <w:widowControl w:val="0"/>
        <w:jc w:val="left"/>
        <w:rPr>
          <w:lang w:val="en-US"/>
        </w:rPr>
      </w:pPr>
    </w:p>
    <w:p w14:paraId="356A4F87" w14:textId="142A4130" w:rsidR="00BA4B60" w:rsidRPr="00BA4B60" w:rsidRDefault="00BA4B60" w:rsidP="00BA4B60">
      <w:pPr>
        <w:widowControl w:val="0"/>
        <w:jc w:val="left"/>
        <w:rPr>
          <w:b/>
          <w:lang w:val="en-US"/>
        </w:rPr>
      </w:pPr>
      <w:r w:rsidRPr="00BA4B60">
        <w:rPr>
          <w:b/>
          <w:lang w:val="en-US"/>
        </w:rPr>
        <w:t xml:space="preserve">Key words </w:t>
      </w:r>
    </w:p>
    <w:p w14:paraId="273FF8DB" w14:textId="4A79D033" w:rsidR="00BA4B60" w:rsidRPr="00BA4B60" w:rsidRDefault="00BA4B60" w:rsidP="00BA4B60">
      <w:pPr>
        <w:widowControl w:val="0"/>
        <w:jc w:val="left"/>
        <w:rPr>
          <w:lang w:val="en-US"/>
        </w:rPr>
      </w:pPr>
      <w:proofErr w:type="gramStart"/>
      <w:r w:rsidRPr="00BA4B60">
        <w:rPr>
          <w:lang w:val="en-US"/>
        </w:rPr>
        <w:t>last</w:t>
      </w:r>
      <w:proofErr w:type="gramEnd"/>
      <w:r w:rsidRPr="00BA4B60">
        <w:rPr>
          <w:lang w:val="en-US"/>
        </w:rPr>
        <w:t xml:space="preserve"> mile connectivity, green urban mobility, non-</w:t>
      </w:r>
      <w:proofErr w:type="spellStart"/>
      <w:r w:rsidRPr="00BA4B60">
        <w:rPr>
          <w:lang w:val="en-US"/>
        </w:rPr>
        <w:t>motorised</w:t>
      </w:r>
      <w:proofErr w:type="spellEnd"/>
      <w:r w:rsidRPr="00BA4B60">
        <w:rPr>
          <w:lang w:val="en-US"/>
        </w:rPr>
        <w:t xml:space="preserve"> transport, sustainable mobility</w:t>
      </w:r>
    </w:p>
    <w:p w14:paraId="525DEB8A" w14:textId="77777777" w:rsidR="00BA4B60" w:rsidRDefault="00BA4B60" w:rsidP="00755B90">
      <w:pPr>
        <w:widowControl w:val="0"/>
        <w:jc w:val="left"/>
        <w:rPr>
          <w:b/>
        </w:rPr>
      </w:pPr>
    </w:p>
    <w:p w14:paraId="719092D5" w14:textId="77777777" w:rsidR="00BA4B60" w:rsidRDefault="00BA4B60" w:rsidP="00755B90">
      <w:pPr>
        <w:widowControl w:val="0"/>
        <w:jc w:val="left"/>
        <w:rPr>
          <w:b/>
        </w:rPr>
      </w:pPr>
    </w:p>
    <w:p w14:paraId="583A2CC8" w14:textId="1D36FF4B" w:rsidR="0042172E" w:rsidRPr="00755B90" w:rsidRDefault="00755B90" w:rsidP="00755B90">
      <w:pPr>
        <w:widowControl w:val="0"/>
        <w:jc w:val="left"/>
        <w:rPr>
          <w:b/>
        </w:rPr>
      </w:pPr>
      <w:r>
        <w:rPr>
          <w:b/>
        </w:rPr>
        <w:t xml:space="preserve">1.0 </w:t>
      </w:r>
      <w:r w:rsidR="0042172E" w:rsidRPr="00755B90">
        <w:rPr>
          <w:b/>
        </w:rPr>
        <w:t>INTRODUCTION</w:t>
      </w:r>
    </w:p>
    <w:p w14:paraId="196010EA" w14:textId="77777777" w:rsidR="0042172E" w:rsidRDefault="0042172E" w:rsidP="00607D4D">
      <w:pPr>
        <w:widowControl w:val="0"/>
        <w:jc w:val="left"/>
      </w:pPr>
    </w:p>
    <w:p w14:paraId="6A46E51D" w14:textId="26694EB9" w:rsidR="00E76176" w:rsidRDefault="00933B3C" w:rsidP="00A24D76">
      <w:pPr>
        <w:widowControl w:val="0"/>
      </w:pPr>
      <w:r>
        <w:t>In today’s globalized scenario, cities are becoming increasingly competitive. The churning of economic, social and cultural activities is taking place at enormous scales. The need to connect, both in the physical and the virtual space</w:t>
      </w:r>
      <w:r w:rsidR="00283F3F">
        <w:t>s</w:t>
      </w:r>
      <w:r>
        <w:t xml:space="preserve"> </w:t>
      </w:r>
      <w:proofErr w:type="gramStart"/>
      <w:r>
        <w:t>can not</w:t>
      </w:r>
      <w:proofErr w:type="gramEnd"/>
      <w:r>
        <w:t xml:space="preserve"> be negated. Travel, thus takes a </w:t>
      </w:r>
      <w:proofErr w:type="spellStart"/>
      <w:r>
        <w:t>centrestage</w:t>
      </w:r>
      <w:proofErr w:type="spellEnd"/>
      <w:r>
        <w:t xml:space="preserve"> </w:t>
      </w:r>
      <w:r w:rsidR="00283F3F">
        <w:t xml:space="preserve">in every urban dweller’s life; however, it comes with its set of negative externalities in the form of congestion and jammed conditions on roads, accidents, green house gas emissions and air pollution and psychological and other health hazards. Cities all across the world are today trying to reduce the number of personal automobile trips and promote public transport. </w:t>
      </w:r>
      <w:r w:rsidR="0042172E">
        <w:t xml:space="preserve">This is however, easier said than done. </w:t>
      </w:r>
      <w:r>
        <w:t xml:space="preserve">A variety of factors affect travel choices between public vis-à-vis private transport; and cities are adopting various strategies to divert choices towards the latter. Increasing number of cities, especially in the emerging economies </w:t>
      </w:r>
      <w:proofErr w:type="gramStart"/>
      <w:r>
        <w:t>have</w:t>
      </w:r>
      <w:proofErr w:type="gramEnd"/>
      <w:r>
        <w:t xml:space="preserve"> introduced mass transit systems, but travel choice factors such as accessibility, convenience, comfort, safety can not be addressed through a state-of-the-art transit system alone. </w:t>
      </w:r>
      <w:r w:rsidR="00E76176" w:rsidRPr="00E76176">
        <w:t xml:space="preserve">Mass transit systems are limited by their lower accessibility, in terms of direct access from trip ends. On the other hand, private modes offer a variety of advantages such as demand mobility, comfort, status, speed, and </w:t>
      </w:r>
      <w:r w:rsidR="00E76176" w:rsidRPr="00E76176">
        <w:lastRenderedPageBreak/>
        <w:t>convenience (</w:t>
      </w:r>
      <w:proofErr w:type="spellStart"/>
      <w:r w:rsidR="00E76176" w:rsidRPr="00E76176">
        <w:t>Rodrigue</w:t>
      </w:r>
      <w:proofErr w:type="spellEnd"/>
      <w:r w:rsidR="00E76176" w:rsidRPr="00E76176">
        <w:t xml:space="preserve">, 2013). </w:t>
      </w:r>
      <w:proofErr w:type="spellStart"/>
      <w:r w:rsidR="00E76176" w:rsidRPr="00E76176">
        <w:t>Stopher</w:t>
      </w:r>
      <w:proofErr w:type="spellEnd"/>
      <w:r w:rsidR="00E76176" w:rsidRPr="00E76176">
        <w:t xml:space="preserve"> et al. (1974) suggested that the attractiveness of public transport </w:t>
      </w:r>
      <w:proofErr w:type="gramStart"/>
      <w:r w:rsidR="00E76176" w:rsidRPr="00E76176">
        <w:t>can</w:t>
      </w:r>
      <w:proofErr w:type="gramEnd"/>
      <w:r w:rsidR="00E76176" w:rsidRPr="00E76176">
        <w:t xml:space="preserve"> be decomposed into four generic elements: safety, cost, time, comfort and convenience. </w:t>
      </w:r>
    </w:p>
    <w:p w14:paraId="49A1A7FB" w14:textId="203BBFA8" w:rsidR="004828CC" w:rsidRDefault="00E76176" w:rsidP="00A24D76">
      <w:pPr>
        <w:widowControl w:val="0"/>
        <w:ind w:firstLine="720"/>
      </w:pPr>
      <w:r w:rsidRPr="00E76176">
        <w:t>Unfortunately, most transit planning focus on improvement in these elements of the transit system per se and not of the overall transit journey which includes the first and the last mile connectivity (LMC).</w:t>
      </w:r>
      <w:r>
        <w:t xml:space="preserve"> </w:t>
      </w:r>
      <w:r w:rsidRPr="00E76176">
        <w:rPr>
          <w:bCs/>
          <w:lang w:val="en-US"/>
        </w:rPr>
        <w:t xml:space="preserve">A </w:t>
      </w:r>
      <w:r w:rsidRPr="00E76176">
        <w:rPr>
          <w:lang w:val="en-US"/>
        </w:rPr>
        <w:t xml:space="preserve">trip made on transit systems usually requires the commuter to utilize more than one mode of transport. </w:t>
      </w:r>
      <w:r w:rsidR="001D1551">
        <w:t xml:space="preserve">It is now somewhat well researched that the out-of-transit (or the first/ last mile) experience can play an influencing role in travel choice. </w:t>
      </w:r>
      <w:r w:rsidRPr="00E76176">
        <w:rPr>
          <w:lang w:val="en-US"/>
        </w:rPr>
        <w:t>Researchers have found the connecting ends to be its weakest link and that they can significantly influence the overall appeal of transit systems given their substantial contribution in terms of travel time and travel disco</w:t>
      </w:r>
      <w:r w:rsidR="00D8734A">
        <w:rPr>
          <w:lang w:val="en-US"/>
        </w:rPr>
        <w:t>mfort (</w:t>
      </w:r>
      <w:proofErr w:type="spellStart"/>
      <w:r w:rsidR="00D8734A">
        <w:rPr>
          <w:lang w:val="en-US"/>
        </w:rPr>
        <w:t>Krygsman</w:t>
      </w:r>
      <w:proofErr w:type="spellEnd"/>
      <w:r w:rsidR="00D8734A">
        <w:rPr>
          <w:lang w:val="en-US"/>
        </w:rPr>
        <w:t xml:space="preserve">, et al., 2004 and </w:t>
      </w:r>
      <w:proofErr w:type="spellStart"/>
      <w:r w:rsidRPr="00E76176">
        <w:rPr>
          <w:lang w:val="en-US"/>
        </w:rPr>
        <w:t>Rietveld</w:t>
      </w:r>
      <w:proofErr w:type="spellEnd"/>
      <w:r w:rsidRPr="00E76176">
        <w:rPr>
          <w:lang w:val="en-US"/>
        </w:rPr>
        <w:t>, 2000</w:t>
      </w:r>
      <w:r w:rsidR="00D8734A">
        <w:rPr>
          <w:lang w:val="en-US"/>
        </w:rPr>
        <w:t xml:space="preserve"> in </w:t>
      </w:r>
      <w:proofErr w:type="spellStart"/>
      <w:r w:rsidR="00D8734A">
        <w:rPr>
          <w:lang w:val="en-US"/>
        </w:rPr>
        <w:t>Tay</w:t>
      </w:r>
      <w:proofErr w:type="spellEnd"/>
      <w:r w:rsidR="00D8734A">
        <w:rPr>
          <w:lang w:val="en-US"/>
        </w:rPr>
        <w:t>, 2012</w:t>
      </w:r>
      <w:r w:rsidRPr="00E76176">
        <w:rPr>
          <w:lang w:val="en-US"/>
        </w:rPr>
        <w:t>).</w:t>
      </w:r>
      <w:r w:rsidR="00CD7719" w:rsidRPr="00CD7719">
        <w:rPr>
          <w:lang w:val="en-US"/>
        </w:rPr>
        <w:t xml:space="preserve"> </w:t>
      </w:r>
      <w:r w:rsidR="00CD7719" w:rsidRPr="00E76176">
        <w:rPr>
          <w:lang w:val="en-US"/>
        </w:rPr>
        <w:t>The attractiveness of transit as a mode therefore depends not just on the quality and attributes of the main mode but also on the quality and attributes of the LMC.</w:t>
      </w:r>
      <w:r w:rsidR="00183824">
        <w:rPr>
          <w:lang w:val="en-US"/>
        </w:rPr>
        <w:t xml:space="preserve"> </w:t>
      </w:r>
    </w:p>
    <w:p w14:paraId="5BBB00C5" w14:textId="77777777" w:rsidR="0042172E" w:rsidRDefault="0042172E" w:rsidP="00A24D76">
      <w:pPr>
        <w:widowControl w:val="0"/>
        <w:ind w:firstLine="720"/>
        <w:rPr>
          <w:lang w:val="en-US"/>
        </w:rPr>
      </w:pPr>
      <w:r w:rsidRPr="0042172E">
        <w:rPr>
          <w:lang w:val="en-US"/>
        </w:rPr>
        <w:t>The origin of the term LMC can be traced to telecommunications and technology industries to describe the technologies and processes used to connect the end customer to a communications network. It is the final leg of delivering connectivity from a communications provider to a customer. Although the term reads `mile’, the actual distance of this leg may be less or considerably more than a mile, especially in urban fringe and sprawl. In the context of urban transport, the term finds relevance in transit systems where it is referred to as both the initial and final leg of delivering connectivity - from origin to transit nodes and from transit nodes to destination. The term is severally referred to as ‘last mile’, ‘first mile’ or ‘first and last mile’ and has generated considerable interest in recent years over how it influences public transit usage.</w:t>
      </w:r>
    </w:p>
    <w:p w14:paraId="6AA66174" w14:textId="3F5E5E3C" w:rsidR="00774BD4" w:rsidRPr="00737659" w:rsidRDefault="00BE1CF5" w:rsidP="00A24D76">
      <w:pPr>
        <w:widowControl w:val="0"/>
        <w:ind w:firstLine="720"/>
      </w:pPr>
      <w:r>
        <w:rPr>
          <w:lang w:val="en-US"/>
        </w:rPr>
        <w:t xml:space="preserve">In terms of strategies adopted for enhancing the LMC, we see that there has been a gradual, albeit slow </w:t>
      </w:r>
      <w:proofErr w:type="gramStart"/>
      <w:r>
        <w:rPr>
          <w:lang w:val="en-US"/>
        </w:rPr>
        <w:t>paradigm shift</w:t>
      </w:r>
      <w:proofErr w:type="gramEnd"/>
      <w:r>
        <w:rPr>
          <w:lang w:val="en-US"/>
        </w:rPr>
        <w:t xml:space="preserve"> from </w:t>
      </w:r>
      <w:r w:rsidR="00774BD4">
        <w:rPr>
          <w:lang w:val="en-US"/>
        </w:rPr>
        <w:t>station-centric to area-centric.</w:t>
      </w:r>
      <w:r>
        <w:rPr>
          <w:lang w:val="en-US"/>
        </w:rPr>
        <w:t xml:space="preserve"> </w:t>
      </w:r>
      <w:r w:rsidR="00CA14C0">
        <w:rPr>
          <w:lang w:val="en-US"/>
        </w:rPr>
        <w:t xml:space="preserve">Most of the earlier studies and city-level efforts focused on provision of feeder services, integration of modes, provision of real time and integrated passenger information and ticketing, parking facilities and provision/ improvement of facilities at transit hubs. While not downplaying the significance of these strategies for transit system quality improvement, these strategies within themselves are not sufficient to cater to the </w:t>
      </w:r>
      <w:r w:rsidR="00C511C3">
        <w:rPr>
          <w:lang w:val="en-US"/>
        </w:rPr>
        <w:t xml:space="preserve">wider </w:t>
      </w:r>
      <w:r w:rsidR="00CA14C0">
        <w:rPr>
          <w:lang w:val="en-US"/>
        </w:rPr>
        <w:t xml:space="preserve">needs of the transit user in a wholesome manner. </w:t>
      </w:r>
      <w:r w:rsidR="00DC1B6C">
        <w:rPr>
          <w:lang w:val="en-US"/>
        </w:rPr>
        <w:t xml:space="preserve">Most transit trips require some degree of walking and this degree of walking can be increased with enhanced walking conditions in not merely the immediate vicinity but at a larger area/ </w:t>
      </w:r>
      <w:proofErr w:type="spellStart"/>
      <w:r w:rsidR="00DC1B6C">
        <w:rPr>
          <w:lang w:val="en-US"/>
        </w:rPr>
        <w:t>neighbourhood</w:t>
      </w:r>
      <w:proofErr w:type="spellEnd"/>
      <w:r w:rsidR="00DC1B6C">
        <w:rPr>
          <w:lang w:val="en-US"/>
        </w:rPr>
        <w:t xml:space="preserve"> level. </w:t>
      </w:r>
      <w:r w:rsidR="00CA14C0">
        <w:rPr>
          <w:lang w:val="en-US"/>
        </w:rPr>
        <w:t xml:space="preserve">More recent </w:t>
      </w:r>
      <w:r w:rsidR="001C52A9">
        <w:rPr>
          <w:lang w:val="en-US"/>
        </w:rPr>
        <w:t>strategies at</w:t>
      </w:r>
      <w:r w:rsidR="00CA14C0">
        <w:rPr>
          <w:lang w:val="en-US"/>
        </w:rPr>
        <w:t xml:space="preserve"> address</w:t>
      </w:r>
      <w:r w:rsidR="001C52A9">
        <w:rPr>
          <w:lang w:val="en-US"/>
        </w:rPr>
        <w:t>ing</w:t>
      </w:r>
      <w:r w:rsidR="00CA14C0">
        <w:rPr>
          <w:lang w:val="en-US"/>
        </w:rPr>
        <w:t xml:space="preserve"> the last mile</w:t>
      </w:r>
      <w:r w:rsidR="001C52A9">
        <w:rPr>
          <w:lang w:val="en-US"/>
        </w:rPr>
        <w:t>,</w:t>
      </w:r>
      <w:r w:rsidR="00CA14C0">
        <w:rPr>
          <w:lang w:val="en-US"/>
        </w:rPr>
        <w:t xml:space="preserve"> </w:t>
      </w:r>
      <w:r w:rsidR="00DC1B6C">
        <w:rPr>
          <w:lang w:val="en-US"/>
        </w:rPr>
        <w:t xml:space="preserve">recognizing this significance have thus </w:t>
      </w:r>
      <w:r w:rsidR="00CA14C0">
        <w:rPr>
          <w:lang w:val="en-US"/>
        </w:rPr>
        <w:t>widened their scope to improve walking and cycling conditions at the area level, surrounding transit hubs</w:t>
      </w:r>
      <w:r w:rsidR="00545F25">
        <w:rPr>
          <w:lang w:val="en-US"/>
        </w:rPr>
        <w:t xml:space="preserve">. </w:t>
      </w:r>
      <w:r w:rsidR="002646C2" w:rsidRPr="002646C2">
        <w:t>One can learn from Singapore policy on transport connectivity that lays</w:t>
      </w:r>
      <w:r w:rsidR="002646C2" w:rsidRPr="002646C2">
        <w:rPr>
          <w:bCs/>
        </w:rPr>
        <w:t xml:space="preserve"> focus on improvement of services not just at the hubs but enhancing accessibility of these hubs from the areas surrounding it, thereby improving the last mile experience. The city has also successfully translated policy to planning by not only making all stations barrier-free but through creating at least 2 barrier-free access routes for more than 80% of the hubs.</w:t>
      </w:r>
      <w:r w:rsidR="002646C2">
        <w:rPr>
          <w:bCs/>
        </w:rPr>
        <w:t xml:space="preserve"> </w:t>
      </w:r>
      <w:r w:rsidR="007B4D44">
        <w:rPr>
          <w:bCs/>
        </w:rPr>
        <w:t>Similarly, in the PATH planning guidelines for Los Angeles there is due stress</w:t>
      </w:r>
      <w:r w:rsidR="007B4D44" w:rsidRPr="007B4D44">
        <w:rPr>
          <w:bCs/>
        </w:rPr>
        <w:t xml:space="preserve"> given to improvement in the quality of active transportation</w:t>
      </w:r>
      <w:r w:rsidR="007B4D44">
        <w:rPr>
          <w:bCs/>
        </w:rPr>
        <w:t xml:space="preserve"> (</w:t>
      </w:r>
      <w:r w:rsidR="007B4D44" w:rsidRPr="007B4D44">
        <w:rPr>
          <w:bCs/>
        </w:rPr>
        <w:t>com</w:t>
      </w:r>
      <w:r w:rsidR="007B4D44">
        <w:rPr>
          <w:bCs/>
        </w:rPr>
        <w:t>prised of sidewalks, bike lanes,</w:t>
      </w:r>
      <w:r w:rsidR="007B4D44" w:rsidRPr="007B4D44">
        <w:rPr>
          <w:bCs/>
        </w:rPr>
        <w:t xml:space="preserve"> street crossings, signals, signs, curb returns, lighting, furnishings and landscaped elements</w:t>
      </w:r>
      <w:r w:rsidR="007B4D44">
        <w:rPr>
          <w:bCs/>
        </w:rPr>
        <w:t>) and</w:t>
      </w:r>
      <w:r w:rsidR="007B4D44" w:rsidRPr="007B4D44">
        <w:rPr>
          <w:bCs/>
        </w:rPr>
        <w:t xml:space="preserve"> </w:t>
      </w:r>
      <w:proofErr w:type="spellStart"/>
      <w:r w:rsidR="007B4D44" w:rsidRPr="007B4D44">
        <w:rPr>
          <w:bCs/>
        </w:rPr>
        <w:t>landuse</w:t>
      </w:r>
      <w:proofErr w:type="spellEnd"/>
      <w:r w:rsidR="007B4D44" w:rsidRPr="007B4D44">
        <w:rPr>
          <w:bCs/>
        </w:rPr>
        <w:t xml:space="preserve"> integration</w:t>
      </w:r>
      <w:r w:rsidR="007B4D44">
        <w:rPr>
          <w:bCs/>
        </w:rPr>
        <w:t>.</w:t>
      </w:r>
    </w:p>
    <w:p w14:paraId="5E52A119" w14:textId="390F49C8" w:rsidR="0066718B" w:rsidRDefault="005E4578" w:rsidP="00A24D76">
      <w:pPr>
        <w:widowControl w:val="0"/>
        <w:ind w:firstLine="720"/>
        <w:rPr>
          <w:lang w:val="en-US"/>
        </w:rPr>
      </w:pPr>
      <w:r>
        <w:rPr>
          <w:lang w:val="en-US"/>
        </w:rPr>
        <w:t xml:space="preserve">There is </w:t>
      </w:r>
      <w:r w:rsidR="00BD2F75">
        <w:rPr>
          <w:lang w:val="en-US"/>
        </w:rPr>
        <w:t xml:space="preserve">a body of </w:t>
      </w:r>
      <w:r>
        <w:rPr>
          <w:lang w:val="en-US"/>
        </w:rPr>
        <w:t>literature establishing link between surrounding built environment and transit ridership (</w:t>
      </w:r>
      <w:r w:rsidR="005245DA">
        <w:rPr>
          <w:lang w:val="en-US"/>
        </w:rPr>
        <w:t>Sung, 2014</w:t>
      </w:r>
      <w:r w:rsidR="00183824">
        <w:rPr>
          <w:lang w:val="en-US"/>
        </w:rPr>
        <w:t xml:space="preserve">; </w:t>
      </w:r>
      <w:r w:rsidR="00B21BC3" w:rsidRPr="005E4578">
        <w:rPr>
          <w:lang w:val="en-US"/>
        </w:rPr>
        <w:t>Marshall and Grady</w:t>
      </w:r>
      <w:r w:rsidR="00B21BC3">
        <w:rPr>
          <w:lang w:val="en-US"/>
        </w:rPr>
        <w:t>,</w:t>
      </w:r>
      <w:r w:rsidR="00B21BC3" w:rsidRPr="005E4578">
        <w:rPr>
          <w:lang w:val="en-US"/>
        </w:rPr>
        <w:t xml:space="preserve"> 2005</w:t>
      </w:r>
      <w:r w:rsidR="00B21BC3">
        <w:rPr>
          <w:lang w:val="en-US"/>
        </w:rPr>
        <w:t xml:space="preserve">; </w:t>
      </w:r>
      <w:proofErr w:type="spellStart"/>
      <w:r w:rsidRPr="005E4578">
        <w:rPr>
          <w:lang w:val="en-US"/>
        </w:rPr>
        <w:t>Cervero</w:t>
      </w:r>
      <w:proofErr w:type="spellEnd"/>
      <w:r w:rsidR="00B21BC3">
        <w:rPr>
          <w:lang w:val="en-US"/>
        </w:rPr>
        <w:t>,</w:t>
      </w:r>
      <w:r w:rsidRPr="005E4578">
        <w:rPr>
          <w:lang w:val="en-US"/>
        </w:rPr>
        <w:t xml:space="preserve"> 1996</w:t>
      </w:r>
      <w:r w:rsidR="00D66CCA">
        <w:rPr>
          <w:lang w:val="en-US"/>
        </w:rPr>
        <w:t>)</w:t>
      </w:r>
      <w:r>
        <w:rPr>
          <w:lang w:val="en-US"/>
        </w:rPr>
        <w:t xml:space="preserve">. </w:t>
      </w:r>
      <w:r w:rsidR="00722829">
        <w:rPr>
          <w:lang w:val="en-US"/>
        </w:rPr>
        <w:t>The paper contends that u</w:t>
      </w:r>
      <w:r>
        <w:rPr>
          <w:lang w:val="en-US"/>
        </w:rPr>
        <w:t>rban streets are a component of the built form</w:t>
      </w:r>
      <w:r w:rsidR="00BD2F75">
        <w:rPr>
          <w:lang w:val="en-US"/>
        </w:rPr>
        <w:t xml:space="preserve"> and </w:t>
      </w:r>
      <w:r w:rsidR="00144E6A">
        <w:rPr>
          <w:lang w:val="en-US"/>
        </w:rPr>
        <w:t xml:space="preserve">in absence of </w:t>
      </w:r>
      <w:r w:rsidR="00722829">
        <w:rPr>
          <w:lang w:val="en-US"/>
        </w:rPr>
        <w:t xml:space="preserve">adequate walking-friendly </w:t>
      </w:r>
      <w:proofErr w:type="gramStart"/>
      <w:r w:rsidR="00722829">
        <w:rPr>
          <w:lang w:val="en-US"/>
        </w:rPr>
        <w:t>environment,</w:t>
      </w:r>
      <w:proofErr w:type="gramEnd"/>
      <w:r w:rsidR="00722829">
        <w:rPr>
          <w:lang w:val="en-US"/>
        </w:rPr>
        <w:t xml:space="preserve"> transit </w:t>
      </w:r>
      <w:r w:rsidR="00774BD4">
        <w:rPr>
          <w:lang w:val="en-US"/>
        </w:rPr>
        <w:t>users tend to use unsustainable</w:t>
      </w:r>
      <w:r w:rsidR="00722829">
        <w:rPr>
          <w:lang w:val="en-US"/>
        </w:rPr>
        <w:t xml:space="preserve"> modes for access/dispersal to/from transit stations</w:t>
      </w:r>
      <w:r w:rsidR="001F2CE4">
        <w:rPr>
          <w:lang w:val="en-US"/>
        </w:rPr>
        <w:t>, whenever they can afford it</w:t>
      </w:r>
      <w:r w:rsidR="00722829">
        <w:rPr>
          <w:lang w:val="en-US"/>
        </w:rPr>
        <w:t xml:space="preserve">. </w:t>
      </w:r>
      <w:r w:rsidR="0066718B">
        <w:rPr>
          <w:lang w:val="en-US"/>
        </w:rPr>
        <w:t xml:space="preserve">Some research point out that </w:t>
      </w:r>
      <w:r w:rsidR="0066718B" w:rsidRPr="00175FA4">
        <w:rPr>
          <w:lang w:val="en-US"/>
        </w:rPr>
        <w:t>the type of mode used depends on the distance of the origin point to the transit station (</w:t>
      </w:r>
      <w:proofErr w:type="spellStart"/>
      <w:r w:rsidR="0066718B" w:rsidRPr="00175FA4">
        <w:rPr>
          <w:lang w:val="en-US"/>
        </w:rPr>
        <w:t>Loutzenheiser</w:t>
      </w:r>
      <w:proofErr w:type="spellEnd"/>
      <w:r w:rsidR="0066718B" w:rsidRPr="00175FA4">
        <w:rPr>
          <w:lang w:val="en-US"/>
        </w:rPr>
        <w:t>, 1997; Parsons et al., 1996)</w:t>
      </w:r>
      <w:r w:rsidR="0066718B">
        <w:rPr>
          <w:lang w:val="en-US"/>
        </w:rPr>
        <w:t xml:space="preserve">, yet the same studies and other research </w:t>
      </w:r>
      <w:r w:rsidR="0066718B" w:rsidRPr="00B83F78">
        <w:rPr>
          <w:lang w:val="en-US"/>
        </w:rPr>
        <w:t>(</w:t>
      </w:r>
      <w:proofErr w:type="spellStart"/>
      <w:r w:rsidR="0066718B">
        <w:rPr>
          <w:lang w:val="en-US"/>
        </w:rPr>
        <w:t>Ozbil</w:t>
      </w:r>
      <w:proofErr w:type="spellEnd"/>
      <w:r w:rsidR="0066718B">
        <w:rPr>
          <w:lang w:val="en-US"/>
        </w:rPr>
        <w:t xml:space="preserve">, A. and </w:t>
      </w:r>
      <w:proofErr w:type="spellStart"/>
      <w:r w:rsidR="0066718B">
        <w:rPr>
          <w:lang w:val="en-US"/>
        </w:rPr>
        <w:t>Peponis</w:t>
      </w:r>
      <w:proofErr w:type="spellEnd"/>
      <w:r w:rsidR="0066718B">
        <w:rPr>
          <w:lang w:val="en-US"/>
        </w:rPr>
        <w:t xml:space="preserve">, J., 2012; </w:t>
      </w:r>
      <w:r w:rsidR="0066718B" w:rsidRPr="005913AE">
        <w:rPr>
          <w:lang w:val="en-US"/>
        </w:rPr>
        <w:t xml:space="preserve">Jiang, </w:t>
      </w:r>
      <w:r w:rsidR="0066718B">
        <w:rPr>
          <w:lang w:val="en-US"/>
        </w:rPr>
        <w:t>et.al</w:t>
      </w:r>
      <w:proofErr w:type="gramStart"/>
      <w:r w:rsidR="0066718B">
        <w:rPr>
          <w:lang w:val="en-US"/>
        </w:rPr>
        <w:t>.,</w:t>
      </w:r>
      <w:proofErr w:type="gramEnd"/>
      <w:r w:rsidR="0066718B">
        <w:rPr>
          <w:lang w:val="en-US"/>
        </w:rPr>
        <w:t xml:space="preserve"> </w:t>
      </w:r>
      <w:r w:rsidR="0066718B" w:rsidRPr="005913AE">
        <w:rPr>
          <w:bCs/>
          <w:lang w:val="en-US"/>
        </w:rPr>
        <w:t>2011</w:t>
      </w:r>
      <w:r w:rsidR="0066718B">
        <w:rPr>
          <w:b/>
          <w:bCs/>
          <w:lang w:val="en-US"/>
        </w:rPr>
        <w:t xml:space="preserve">; </w:t>
      </w:r>
      <w:r w:rsidR="0066718B" w:rsidRPr="00DE67C7">
        <w:rPr>
          <w:lang w:val="en-US"/>
        </w:rPr>
        <w:t xml:space="preserve">Rodriguez and </w:t>
      </w:r>
      <w:proofErr w:type="spellStart"/>
      <w:r w:rsidR="0066718B" w:rsidRPr="00DE67C7">
        <w:rPr>
          <w:lang w:val="en-US"/>
        </w:rPr>
        <w:t>Joo</w:t>
      </w:r>
      <w:proofErr w:type="spellEnd"/>
      <w:r w:rsidR="0066718B">
        <w:rPr>
          <w:lang w:val="en-US"/>
        </w:rPr>
        <w:t>,</w:t>
      </w:r>
      <w:r w:rsidR="0066718B" w:rsidRPr="00DE67C7">
        <w:rPr>
          <w:lang w:val="en-US"/>
        </w:rPr>
        <w:t xml:space="preserve"> 2004</w:t>
      </w:r>
      <w:r w:rsidR="0066718B">
        <w:rPr>
          <w:lang w:val="en-US"/>
        </w:rPr>
        <w:t xml:space="preserve">; </w:t>
      </w:r>
      <w:proofErr w:type="spellStart"/>
      <w:r w:rsidR="0066718B" w:rsidRPr="00DE67C7">
        <w:rPr>
          <w:lang w:val="en-US"/>
        </w:rPr>
        <w:t>Cervero</w:t>
      </w:r>
      <w:proofErr w:type="spellEnd"/>
      <w:r w:rsidR="0066718B">
        <w:rPr>
          <w:lang w:val="en-US"/>
        </w:rPr>
        <w:t>,</w:t>
      </w:r>
      <w:r w:rsidR="0066718B" w:rsidRPr="00DE67C7">
        <w:rPr>
          <w:lang w:val="en-US"/>
        </w:rPr>
        <w:t xml:space="preserve"> 2002;</w:t>
      </w:r>
      <w:r w:rsidR="0066718B">
        <w:rPr>
          <w:lang w:val="en-US"/>
        </w:rPr>
        <w:t xml:space="preserve"> </w:t>
      </w:r>
      <w:proofErr w:type="spellStart"/>
      <w:r w:rsidR="0066718B" w:rsidRPr="00B83F78">
        <w:rPr>
          <w:lang w:val="en-US"/>
        </w:rPr>
        <w:t>Cervero</w:t>
      </w:r>
      <w:proofErr w:type="spellEnd"/>
      <w:r w:rsidR="0066718B" w:rsidRPr="00B83F78">
        <w:rPr>
          <w:lang w:val="en-US"/>
        </w:rPr>
        <w:t xml:space="preserve"> and </w:t>
      </w:r>
      <w:proofErr w:type="spellStart"/>
      <w:r w:rsidR="0066718B" w:rsidRPr="00B83F78">
        <w:rPr>
          <w:lang w:val="en-US"/>
        </w:rPr>
        <w:t>Kockelman</w:t>
      </w:r>
      <w:proofErr w:type="spellEnd"/>
      <w:r w:rsidR="0066718B">
        <w:rPr>
          <w:lang w:val="en-US"/>
        </w:rPr>
        <w:t>,</w:t>
      </w:r>
      <w:r w:rsidR="0066718B" w:rsidRPr="00B83F78">
        <w:rPr>
          <w:lang w:val="en-US"/>
        </w:rPr>
        <w:t xml:space="preserve"> 1997; Ewing et al. 1994)</w:t>
      </w:r>
      <w:r w:rsidR="0066718B">
        <w:rPr>
          <w:lang w:val="en-US"/>
        </w:rPr>
        <w:t xml:space="preserve"> also indicate that </w:t>
      </w:r>
      <w:r w:rsidR="0066718B" w:rsidRPr="00175FA4">
        <w:rPr>
          <w:lang w:val="en-US"/>
        </w:rPr>
        <w:t>the use of NMT</w:t>
      </w:r>
      <w:r w:rsidR="0066718B">
        <w:rPr>
          <w:lang w:val="en-US"/>
        </w:rPr>
        <w:t xml:space="preserve"> (specially walking)</w:t>
      </w:r>
      <w:r w:rsidR="0066718B" w:rsidRPr="00175FA4">
        <w:rPr>
          <w:lang w:val="en-US"/>
        </w:rPr>
        <w:t xml:space="preserve"> </w:t>
      </w:r>
      <w:r w:rsidR="0066718B">
        <w:rPr>
          <w:lang w:val="en-US"/>
        </w:rPr>
        <w:t xml:space="preserve">for last mile connectivity </w:t>
      </w:r>
      <w:r w:rsidR="0066718B" w:rsidRPr="00175FA4">
        <w:rPr>
          <w:lang w:val="en-US"/>
        </w:rPr>
        <w:t>can</w:t>
      </w:r>
      <w:r w:rsidR="0066718B">
        <w:rPr>
          <w:lang w:val="en-US"/>
        </w:rPr>
        <w:t xml:space="preserve"> </w:t>
      </w:r>
      <w:r w:rsidR="0066718B" w:rsidRPr="00175FA4">
        <w:rPr>
          <w:lang w:val="en-US"/>
        </w:rPr>
        <w:t xml:space="preserve">greatly be influenced </w:t>
      </w:r>
      <w:r w:rsidR="0066718B">
        <w:rPr>
          <w:lang w:val="en-US"/>
        </w:rPr>
        <w:t xml:space="preserve">and their catchments enhanced </w:t>
      </w:r>
      <w:r w:rsidR="0066718B" w:rsidRPr="00175FA4">
        <w:rPr>
          <w:lang w:val="en-US"/>
        </w:rPr>
        <w:t xml:space="preserve">by other factors such as density, </w:t>
      </w:r>
      <w:proofErr w:type="spellStart"/>
      <w:r w:rsidR="0066718B" w:rsidRPr="00175FA4">
        <w:rPr>
          <w:lang w:val="en-US"/>
        </w:rPr>
        <w:t>landuse</w:t>
      </w:r>
      <w:proofErr w:type="spellEnd"/>
      <w:r w:rsidR="0066718B" w:rsidRPr="00175FA4">
        <w:rPr>
          <w:lang w:val="en-US"/>
        </w:rPr>
        <w:t xml:space="preserve">, </w:t>
      </w:r>
      <w:r w:rsidR="0066718B">
        <w:rPr>
          <w:lang w:val="en-US"/>
        </w:rPr>
        <w:t>street and network design and layout and overall environment</w:t>
      </w:r>
      <w:r w:rsidR="0066718B" w:rsidRPr="00175FA4">
        <w:rPr>
          <w:lang w:val="en-US"/>
        </w:rPr>
        <w:t>.</w:t>
      </w:r>
      <w:r w:rsidR="0066718B">
        <w:rPr>
          <w:lang w:val="en-US"/>
        </w:rPr>
        <w:t xml:space="preserve"> </w:t>
      </w:r>
      <w:r w:rsidR="00722829">
        <w:rPr>
          <w:lang w:val="en-US"/>
        </w:rPr>
        <w:t xml:space="preserve">The paper brings to the fore the significance of </w:t>
      </w:r>
      <w:r w:rsidR="000F5900">
        <w:rPr>
          <w:lang w:val="en-US"/>
        </w:rPr>
        <w:t xml:space="preserve">appropriate </w:t>
      </w:r>
      <w:proofErr w:type="spellStart"/>
      <w:r w:rsidR="000F5900">
        <w:rPr>
          <w:lang w:val="en-US"/>
        </w:rPr>
        <w:t>placemaking</w:t>
      </w:r>
      <w:proofErr w:type="spellEnd"/>
      <w:r w:rsidR="000F5900">
        <w:rPr>
          <w:lang w:val="en-US"/>
        </w:rPr>
        <w:t xml:space="preserve"> </w:t>
      </w:r>
      <w:r w:rsidR="00144E6A">
        <w:rPr>
          <w:lang w:val="en-US"/>
        </w:rPr>
        <w:t xml:space="preserve">for </w:t>
      </w:r>
      <w:r w:rsidR="00EB50DE">
        <w:rPr>
          <w:lang w:val="en-US"/>
        </w:rPr>
        <w:t xml:space="preserve">‘green mobility’ i.e., for </w:t>
      </w:r>
      <w:r w:rsidR="00144E6A">
        <w:rPr>
          <w:lang w:val="en-US"/>
        </w:rPr>
        <w:t>pedestrians</w:t>
      </w:r>
      <w:r w:rsidR="0044073A">
        <w:rPr>
          <w:lang w:val="en-US"/>
        </w:rPr>
        <w:t>,</w:t>
      </w:r>
      <w:r w:rsidR="00144E6A">
        <w:rPr>
          <w:lang w:val="en-US"/>
        </w:rPr>
        <w:t xml:space="preserve"> cyclists </w:t>
      </w:r>
      <w:r w:rsidR="0044073A">
        <w:rPr>
          <w:lang w:val="en-US"/>
        </w:rPr>
        <w:t xml:space="preserve">and other </w:t>
      </w:r>
      <w:r w:rsidR="00774BD4">
        <w:rPr>
          <w:lang w:val="en-US"/>
        </w:rPr>
        <w:t>non-</w:t>
      </w:r>
      <w:proofErr w:type="spellStart"/>
      <w:r w:rsidR="00774BD4">
        <w:rPr>
          <w:lang w:val="en-US"/>
        </w:rPr>
        <w:t>motorised</w:t>
      </w:r>
      <w:proofErr w:type="spellEnd"/>
      <w:r w:rsidR="00774BD4">
        <w:rPr>
          <w:lang w:val="en-US"/>
        </w:rPr>
        <w:t xml:space="preserve"> transport (</w:t>
      </w:r>
      <w:r w:rsidR="0044073A">
        <w:rPr>
          <w:lang w:val="en-US"/>
        </w:rPr>
        <w:t>NMT</w:t>
      </w:r>
      <w:r w:rsidR="00774BD4">
        <w:rPr>
          <w:lang w:val="en-US"/>
        </w:rPr>
        <w:t xml:space="preserve">) </w:t>
      </w:r>
      <w:r w:rsidR="00722829">
        <w:rPr>
          <w:lang w:val="en-US"/>
        </w:rPr>
        <w:t xml:space="preserve">which </w:t>
      </w:r>
      <w:r w:rsidR="00BD2F75">
        <w:rPr>
          <w:lang w:val="en-US"/>
        </w:rPr>
        <w:t xml:space="preserve">will </w:t>
      </w:r>
      <w:r w:rsidR="00D96B8E">
        <w:rPr>
          <w:lang w:val="en-US"/>
        </w:rPr>
        <w:t xml:space="preserve">not only </w:t>
      </w:r>
      <w:r w:rsidR="00722829">
        <w:rPr>
          <w:lang w:val="en-US"/>
        </w:rPr>
        <w:t>enhance</w:t>
      </w:r>
      <w:r w:rsidR="00D96B8E">
        <w:rPr>
          <w:lang w:val="en-US"/>
        </w:rPr>
        <w:t xml:space="preserve"> transit ridership</w:t>
      </w:r>
      <w:r w:rsidR="0095056F">
        <w:rPr>
          <w:lang w:val="en-US"/>
        </w:rPr>
        <w:t xml:space="preserve"> but also</w:t>
      </w:r>
      <w:r w:rsidR="00722829">
        <w:rPr>
          <w:lang w:val="en-US"/>
        </w:rPr>
        <w:t xml:space="preserve"> encourage healthier and sustainable ways to access the transit</w:t>
      </w:r>
      <w:r w:rsidR="00183824">
        <w:rPr>
          <w:lang w:val="en-US"/>
        </w:rPr>
        <w:t xml:space="preserve"> and promote </w:t>
      </w:r>
      <w:r w:rsidR="00F95400">
        <w:rPr>
          <w:lang w:val="en-US"/>
        </w:rPr>
        <w:t>equitable use of road space</w:t>
      </w:r>
      <w:r w:rsidR="0095056F">
        <w:rPr>
          <w:lang w:val="en-US"/>
        </w:rPr>
        <w:t>.</w:t>
      </w:r>
    </w:p>
    <w:p w14:paraId="1EB77940" w14:textId="60381BED" w:rsidR="00BE1CF5" w:rsidRPr="0042172E" w:rsidRDefault="00BE1CF5" w:rsidP="00A24D76">
      <w:pPr>
        <w:widowControl w:val="0"/>
        <w:ind w:firstLine="720"/>
        <w:rPr>
          <w:lang w:val="en-US"/>
        </w:rPr>
      </w:pPr>
    </w:p>
    <w:p w14:paraId="7D1B9474" w14:textId="77777777" w:rsidR="00E76176" w:rsidRDefault="00E76176" w:rsidP="00A24D76">
      <w:pPr>
        <w:widowControl w:val="0"/>
      </w:pPr>
    </w:p>
    <w:p w14:paraId="52A4B782" w14:textId="5EA03ECB" w:rsidR="0042172E" w:rsidRPr="00755B90" w:rsidRDefault="00557DC8" w:rsidP="00755B90">
      <w:pPr>
        <w:widowControl w:val="0"/>
        <w:jc w:val="left"/>
        <w:rPr>
          <w:b/>
        </w:rPr>
      </w:pPr>
      <w:r>
        <w:rPr>
          <w:b/>
        </w:rPr>
        <w:t xml:space="preserve">2.0 </w:t>
      </w:r>
      <w:r w:rsidRPr="00755B90">
        <w:rPr>
          <w:b/>
        </w:rPr>
        <w:t>INDIAN SCENARIO</w:t>
      </w:r>
    </w:p>
    <w:p w14:paraId="4495D89F" w14:textId="77777777" w:rsidR="00557DC8" w:rsidRPr="00557DC8" w:rsidRDefault="00557DC8" w:rsidP="00A24D76"/>
    <w:p w14:paraId="635824C8" w14:textId="4EAED4B9" w:rsidR="00755B90" w:rsidRPr="00557DC8" w:rsidRDefault="00755B90" w:rsidP="00A24D76">
      <w:r w:rsidRPr="00557DC8">
        <w:t xml:space="preserve">The vehicular growth in Indian cities is increasing at a tremendous speed. It is rather alarming to note that during the period 1961 to 2011, while the number of cities in India increased three fold (from 2,363 in to 7,935) and the population increased 5 times (from 79 million to 377 million), the vehicular population marked a whopping </w:t>
      </w:r>
      <w:r w:rsidR="00156729" w:rsidRPr="00557DC8">
        <w:t>increase</w:t>
      </w:r>
      <w:r w:rsidR="00156729">
        <w:t xml:space="preserve"> of approximately </w:t>
      </w:r>
      <w:r w:rsidRPr="00557DC8">
        <w:t>2</w:t>
      </w:r>
      <w:r w:rsidR="00DD37CC">
        <w:t>00</w:t>
      </w:r>
      <w:r w:rsidRPr="00557DC8">
        <w:t xml:space="preserve"> times (from 0.7 million to 142 million) </w:t>
      </w:r>
      <w:r w:rsidR="003D0430">
        <w:t>(CSE, 2013)</w:t>
      </w:r>
      <w:r w:rsidRPr="00557DC8">
        <w:t xml:space="preserve">.  Of this, larger cities including metro and mega cities constitute the maximum share, with Delhi taking a clear lead. </w:t>
      </w:r>
    </w:p>
    <w:p w14:paraId="3CC6EC96" w14:textId="5E58DB73" w:rsidR="005413E4" w:rsidRDefault="00257B38" w:rsidP="00A24D76">
      <w:pPr>
        <w:ind w:firstLine="720"/>
      </w:pPr>
      <w:r w:rsidRPr="00557DC8">
        <w:t>A reflection on whether the infrastructure is commensurate with this surging vehicular growth reveals an interesting dichotomy. On one hand, t</w:t>
      </w:r>
      <w:r w:rsidR="00755B90" w:rsidRPr="00557DC8">
        <w:t>he road space as percentage of total land area in Delhi is 21%</w:t>
      </w:r>
      <w:r w:rsidR="00363A59">
        <w:t xml:space="preserve"> </w:t>
      </w:r>
      <w:r w:rsidR="00363A59" w:rsidRPr="008708CD">
        <w:t>(</w:t>
      </w:r>
      <w:proofErr w:type="spellStart"/>
      <w:r w:rsidR="008708CD" w:rsidRPr="008708CD">
        <w:t>Sahai</w:t>
      </w:r>
      <w:proofErr w:type="spellEnd"/>
      <w:r w:rsidR="008708CD" w:rsidRPr="008708CD">
        <w:t xml:space="preserve"> and Bishop, 2010</w:t>
      </w:r>
      <w:r w:rsidR="00363A59" w:rsidRPr="008708CD">
        <w:t>)</w:t>
      </w:r>
      <w:r w:rsidR="00755B90" w:rsidRPr="008708CD">
        <w:t>,</w:t>
      </w:r>
      <w:r w:rsidR="00755B90" w:rsidRPr="00557DC8">
        <w:t xml:space="preserve"> much higher compared to cities like Tokyo (13%), Hong Kong (12%) and Bangkok (11%); as such, continued and aggressive expansion of road network is likely to be highly unsustainable. On the other hand, the road space availability has halved from 12 </w:t>
      </w:r>
      <w:proofErr w:type="spellStart"/>
      <w:r w:rsidR="00755B90" w:rsidRPr="00557DC8">
        <w:t>kms</w:t>
      </w:r>
      <w:proofErr w:type="spellEnd"/>
      <w:r w:rsidR="00755B90" w:rsidRPr="00557DC8">
        <w:t xml:space="preserve">/1000vehicles in 1990-91 to about 6 </w:t>
      </w:r>
      <w:proofErr w:type="spellStart"/>
      <w:r w:rsidR="00755B90" w:rsidRPr="00557DC8">
        <w:t>kms</w:t>
      </w:r>
      <w:proofErr w:type="spellEnd"/>
      <w:r w:rsidR="00755B90" w:rsidRPr="00557DC8">
        <w:t>/1000 vehicles in 2005-06, leading to heavy congestion on most city roads and increasing levels of vehicular pollution. This is a resultant of shifting trend towards p</w:t>
      </w:r>
      <w:r w:rsidR="00EA177F" w:rsidRPr="00557DC8">
        <w:t>rivate motorised</w:t>
      </w:r>
      <w:r w:rsidR="00755B90" w:rsidRPr="00557DC8">
        <w:t xml:space="preserve"> modes of travel. On some major arterial roads, cars occupy as much as 70% of the road space carrying merely 20% of the total trips. The modal share of public transport (including bus and metro trips) in the city has gone down from 60% to 45.5% between the period 2000-01 and 2007-08 (RITES, 2008), despite introduction of BRT corridors and an expanding network of metro rail. </w:t>
      </w:r>
    </w:p>
    <w:p w14:paraId="48A864D8" w14:textId="1B30EF5B" w:rsidR="00283224" w:rsidRPr="00283224" w:rsidRDefault="00412511" w:rsidP="00A24D76">
      <w:pPr>
        <w:ind w:firstLine="720"/>
        <w:rPr>
          <w:lang w:val="en-US"/>
        </w:rPr>
      </w:pPr>
      <w:r>
        <w:t xml:space="preserve">A large </w:t>
      </w:r>
      <w:r w:rsidR="00283224">
        <w:t xml:space="preserve">percentage of trips in Indian cities are </w:t>
      </w:r>
      <w:r w:rsidR="008F4B2E">
        <w:t>made</w:t>
      </w:r>
      <w:r w:rsidR="00283224">
        <w:t xml:space="preserve"> by non-motorised modes. </w:t>
      </w:r>
      <w:r w:rsidR="00283224">
        <w:rPr>
          <w:lang w:val="en-US"/>
        </w:rPr>
        <w:t xml:space="preserve">A 2008 study on 30 Indian cities found that </w:t>
      </w:r>
      <w:r w:rsidR="00283224" w:rsidRPr="00283224">
        <w:rPr>
          <w:lang w:val="en-US"/>
        </w:rPr>
        <w:t>“in cities with more than 8 million population: 22% walked all the way, 8% used cycles and 44% used public transport. This adds up to 74% of people who rely on non-</w:t>
      </w:r>
      <w:proofErr w:type="spellStart"/>
      <w:r w:rsidR="00283224" w:rsidRPr="00283224">
        <w:rPr>
          <w:lang w:val="en-US"/>
        </w:rPr>
        <w:t>motorised</w:t>
      </w:r>
      <w:proofErr w:type="spellEnd"/>
      <w:r w:rsidR="00283224" w:rsidRPr="00283224">
        <w:rPr>
          <w:lang w:val="en-US"/>
        </w:rPr>
        <w:t xml:space="preserve"> transport for at least part of the commute”</w:t>
      </w:r>
      <w:r w:rsidR="00283224">
        <w:rPr>
          <w:lang w:val="en-US"/>
        </w:rPr>
        <w:t xml:space="preserve"> (WWF)</w:t>
      </w:r>
      <w:r w:rsidR="00283224" w:rsidRPr="00283224">
        <w:rPr>
          <w:lang w:val="en-US"/>
        </w:rPr>
        <w:t xml:space="preserve">. </w:t>
      </w:r>
      <w:r w:rsidR="00A461EB" w:rsidRPr="00A461EB">
        <w:rPr>
          <w:lang w:val="en-US"/>
        </w:rPr>
        <w:t xml:space="preserve">Although walking </w:t>
      </w:r>
      <w:r w:rsidR="00A461EB">
        <w:rPr>
          <w:lang w:val="en-US"/>
        </w:rPr>
        <w:t xml:space="preserve">is ubiquitous and intrinsically embedded </w:t>
      </w:r>
      <w:r w:rsidR="008F4B2E">
        <w:rPr>
          <w:lang w:val="en-US"/>
        </w:rPr>
        <w:t>in Indian urban mobility pattern, t</w:t>
      </w:r>
      <w:r w:rsidR="00A461EB" w:rsidRPr="00A461EB">
        <w:rPr>
          <w:lang w:val="en-US"/>
        </w:rPr>
        <w:t xml:space="preserve">he apathetic attitude towards provision of pedestrian facilities does not encourage users to readily go for this option, unless when compelled to do so. A World Bank report </w:t>
      </w:r>
      <w:r w:rsidR="00D33D36">
        <w:rPr>
          <w:lang w:val="en-US"/>
        </w:rPr>
        <w:t>(</w:t>
      </w:r>
      <w:r w:rsidR="008F4B2E">
        <w:rPr>
          <w:lang w:val="en-US"/>
        </w:rPr>
        <w:t>2008</w:t>
      </w:r>
      <w:r w:rsidR="00D33D36">
        <w:rPr>
          <w:lang w:val="en-US"/>
        </w:rPr>
        <w:t>)</w:t>
      </w:r>
      <w:r w:rsidR="008F4B2E">
        <w:rPr>
          <w:lang w:val="en-US"/>
        </w:rPr>
        <w:t xml:space="preserve"> remarks, “t</w:t>
      </w:r>
      <w:r w:rsidR="00A461EB" w:rsidRPr="00A461EB">
        <w:rPr>
          <w:lang w:val="en-US"/>
        </w:rPr>
        <w:t xml:space="preserve">he urban poor make up a city’s ‘captive walkers,’ but since this group has the least resources, it usually has the smallest political voice”. </w:t>
      </w:r>
      <w:r w:rsidR="002304F0">
        <w:rPr>
          <w:lang w:val="en-US"/>
        </w:rPr>
        <w:t xml:space="preserve">Despite </w:t>
      </w:r>
      <w:r w:rsidR="002304F0" w:rsidRPr="00283224">
        <w:t xml:space="preserve">NMT </w:t>
      </w:r>
      <w:r w:rsidR="0063478B" w:rsidRPr="00283224">
        <w:t>users</w:t>
      </w:r>
      <w:r w:rsidR="0063478B">
        <w:t xml:space="preserve"> being</w:t>
      </w:r>
      <w:r w:rsidR="0063478B" w:rsidRPr="00283224">
        <w:t xml:space="preserve"> </w:t>
      </w:r>
      <w:r w:rsidR="0063478B">
        <w:t xml:space="preserve">the </w:t>
      </w:r>
      <w:r w:rsidR="0063478B" w:rsidRPr="00283224">
        <w:t>high</w:t>
      </w:r>
      <w:r w:rsidR="0063478B">
        <w:t>est</w:t>
      </w:r>
      <w:r w:rsidR="0063478B" w:rsidRPr="00283224">
        <w:t xml:space="preserve"> percentage of victims in road accidents</w:t>
      </w:r>
      <w:r w:rsidR="0063478B">
        <w:t xml:space="preserve">, </w:t>
      </w:r>
      <w:r w:rsidR="0063478B" w:rsidRPr="00283224">
        <w:t>(44.5% pe</w:t>
      </w:r>
      <w:r w:rsidR="0063478B">
        <w:t xml:space="preserve">destrians and 6.1% cyclists) </w:t>
      </w:r>
      <w:r w:rsidR="0063478B" w:rsidRPr="00283224">
        <w:t>(MORTH,</w:t>
      </w:r>
      <w:r w:rsidR="0063478B">
        <w:t xml:space="preserve"> </w:t>
      </w:r>
      <w:r w:rsidR="0063478B" w:rsidRPr="00283224">
        <w:t>2012 in CSE, 201</w:t>
      </w:r>
      <w:r w:rsidR="0063478B">
        <w:t>4), the urgency with which road safety need</w:t>
      </w:r>
      <w:r w:rsidR="002304F0">
        <w:t xml:space="preserve"> to be treated with is </w:t>
      </w:r>
      <w:r w:rsidR="0063478B">
        <w:t>found wanting</w:t>
      </w:r>
      <w:r w:rsidR="00C472D7" w:rsidRPr="00283224">
        <w:t>.</w:t>
      </w:r>
      <w:r w:rsidR="00C472D7">
        <w:t xml:space="preserve"> The same report also </w:t>
      </w:r>
      <w:r w:rsidR="0063478B">
        <w:t>highlights</w:t>
      </w:r>
      <w:r w:rsidR="00C472D7">
        <w:t xml:space="preserve"> that p</w:t>
      </w:r>
      <w:r w:rsidR="008F4B2E" w:rsidRPr="00283224">
        <w:t xml:space="preserve">edestrian and cyclist accidents and fatalities </w:t>
      </w:r>
      <w:r w:rsidR="00C472D7" w:rsidRPr="00283224">
        <w:t>around public transport nodes, markets, etc</w:t>
      </w:r>
      <w:r w:rsidR="00C472D7">
        <w:t xml:space="preserve">. </w:t>
      </w:r>
      <w:r w:rsidR="00D35B64">
        <w:t xml:space="preserve">in Delhi have been on the rise </w:t>
      </w:r>
      <w:r w:rsidR="008F4B2E" w:rsidRPr="00283224">
        <w:t xml:space="preserve">by 1.3 to 4 times. </w:t>
      </w:r>
    </w:p>
    <w:p w14:paraId="427F1358" w14:textId="77777777" w:rsidR="00450891" w:rsidRDefault="00450891" w:rsidP="00A24D76">
      <w:pPr>
        <w:rPr>
          <w:b/>
        </w:rPr>
      </w:pPr>
    </w:p>
    <w:p w14:paraId="0989A00D" w14:textId="219300A0" w:rsidR="00502DF3" w:rsidRPr="00502DF3" w:rsidRDefault="00502DF3" w:rsidP="00A24D76">
      <w:pPr>
        <w:rPr>
          <w:b/>
        </w:rPr>
      </w:pPr>
      <w:r w:rsidRPr="00502DF3">
        <w:rPr>
          <w:b/>
        </w:rPr>
        <w:t xml:space="preserve">2.1 Policy </w:t>
      </w:r>
      <w:r w:rsidR="000E7F7C">
        <w:rPr>
          <w:b/>
        </w:rPr>
        <w:t>manifestation into p</w:t>
      </w:r>
      <w:r w:rsidRPr="00502DF3">
        <w:rPr>
          <w:b/>
        </w:rPr>
        <w:t xml:space="preserve">lanning </w:t>
      </w:r>
      <w:r w:rsidR="000E7F7C">
        <w:rPr>
          <w:b/>
        </w:rPr>
        <w:t>and implementation</w:t>
      </w:r>
    </w:p>
    <w:p w14:paraId="41A2B8D4" w14:textId="77777777" w:rsidR="00502DF3" w:rsidRDefault="00502DF3" w:rsidP="00A24D76"/>
    <w:p w14:paraId="361F33E8" w14:textId="5ACABE40" w:rsidR="00502DF3" w:rsidRPr="008F4B2E" w:rsidRDefault="00A461EB" w:rsidP="00A24D76">
      <w:pPr>
        <w:rPr>
          <w:lang w:val="en-US"/>
        </w:rPr>
      </w:pPr>
      <w:r>
        <w:rPr>
          <w:lang w:val="en-US"/>
        </w:rPr>
        <w:t xml:space="preserve">Till recently, the aspect of </w:t>
      </w:r>
      <w:r w:rsidRPr="00502DF3">
        <w:rPr>
          <w:lang w:val="en-US"/>
        </w:rPr>
        <w:t>last mile connectivity for transit systems</w:t>
      </w:r>
      <w:r>
        <w:rPr>
          <w:lang w:val="en-US"/>
        </w:rPr>
        <w:t xml:space="preserve"> did not find mention in t</w:t>
      </w:r>
      <w:r w:rsidR="00502DF3" w:rsidRPr="00502DF3">
        <w:rPr>
          <w:lang w:val="en-US"/>
        </w:rPr>
        <w:t xml:space="preserve">ransport policies </w:t>
      </w:r>
      <w:r>
        <w:rPr>
          <w:lang w:val="en-US"/>
        </w:rPr>
        <w:t>though they promoted</w:t>
      </w:r>
      <w:r w:rsidR="00502DF3" w:rsidRPr="00502DF3">
        <w:rPr>
          <w:lang w:val="en-US"/>
        </w:rPr>
        <w:t xml:space="preserve"> public transit systems, multi-modal integration and </w:t>
      </w:r>
      <w:r w:rsidR="000D40EF">
        <w:rPr>
          <w:lang w:val="en-US"/>
        </w:rPr>
        <w:t xml:space="preserve">to an extent, </w:t>
      </w:r>
      <w:r w:rsidR="003D0430">
        <w:rPr>
          <w:lang w:val="en-US"/>
        </w:rPr>
        <w:t>NMT</w:t>
      </w:r>
      <w:r w:rsidR="00502DF3" w:rsidRPr="00502DF3">
        <w:rPr>
          <w:lang w:val="en-US"/>
        </w:rPr>
        <w:t xml:space="preserve">. </w:t>
      </w:r>
      <w:r>
        <w:rPr>
          <w:lang w:val="en-US"/>
        </w:rPr>
        <w:t>New</w:t>
      </w:r>
      <w:r w:rsidRPr="00A461EB">
        <w:rPr>
          <w:lang w:val="en-US"/>
        </w:rPr>
        <w:t xml:space="preserve"> </w:t>
      </w:r>
      <w:r w:rsidRPr="00502DF3">
        <w:rPr>
          <w:lang w:val="en-US"/>
        </w:rPr>
        <w:t>policies</w:t>
      </w:r>
      <w:r w:rsidR="00502DF3" w:rsidRPr="00502DF3">
        <w:rPr>
          <w:lang w:val="en-US"/>
        </w:rPr>
        <w:t xml:space="preserve">, however, </w:t>
      </w:r>
      <w:r w:rsidR="00450891">
        <w:rPr>
          <w:lang w:val="en-US"/>
        </w:rPr>
        <w:t>have come to</w:t>
      </w:r>
      <w:r w:rsidR="00502DF3" w:rsidRPr="00502DF3">
        <w:rPr>
          <w:lang w:val="en-US"/>
        </w:rPr>
        <w:t xml:space="preserve"> recognize the significance of both LMC and NMT.  The Working Group on Urban transport for the 12</w:t>
      </w:r>
      <w:r w:rsidR="00502DF3" w:rsidRPr="00502DF3">
        <w:rPr>
          <w:vertAlign w:val="superscript"/>
          <w:lang w:val="en-US"/>
        </w:rPr>
        <w:t>th</w:t>
      </w:r>
      <w:r w:rsidR="00502DF3" w:rsidRPr="00502DF3">
        <w:rPr>
          <w:lang w:val="en-US"/>
        </w:rPr>
        <w:t xml:space="preserve"> FYP point</w:t>
      </w:r>
      <w:r w:rsidR="00D35B64">
        <w:rPr>
          <w:lang w:val="en-US"/>
        </w:rPr>
        <w:t>s</w:t>
      </w:r>
      <w:r w:rsidR="00502DF3" w:rsidRPr="00502DF3">
        <w:rPr>
          <w:lang w:val="en-US"/>
        </w:rPr>
        <w:t xml:space="preserve"> out its significance in the context of integration</w:t>
      </w:r>
      <w:r w:rsidR="00AB68EC">
        <w:rPr>
          <w:lang w:val="en-US"/>
        </w:rPr>
        <w:t xml:space="preserve"> of public transit with other modes</w:t>
      </w:r>
      <w:r w:rsidR="00AB1A5A" w:rsidRPr="00AB1A5A">
        <w:rPr>
          <w:lang w:val="en-US"/>
        </w:rPr>
        <w:t xml:space="preserve"> </w:t>
      </w:r>
      <w:r w:rsidR="00AB1A5A">
        <w:rPr>
          <w:lang w:val="en-US"/>
        </w:rPr>
        <w:t>although, strategies at best, are touched at the surface level</w:t>
      </w:r>
      <w:r w:rsidR="00502DF3" w:rsidRPr="00502DF3">
        <w:rPr>
          <w:lang w:val="en-US"/>
        </w:rPr>
        <w:t xml:space="preserve">. </w:t>
      </w:r>
      <w:r w:rsidR="00412511" w:rsidRPr="00502DF3">
        <w:rPr>
          <w:lang w:val="en-US"/>
        </w:rPr>
        <w:t xml:space="preserve">The report </w:t>
      </w:r>
      <w:r w:rsidR="00D35B64">
        <w:rPr>
          <w:lang w:val="en-US"/>
        </w:rPr>
        <w:t>also</w:t>
      </w:r>
      <w:r w:rsidR="00412511" w:rsidRPr="00502DF3">
        <w:rPr>
          <w:lang w:val="en-US"/>
        </w:rPr>
        <w:t xml:space="preserve"> recognizes the role of “cycle rickshaw as an intermediate public mode of transport and best suited to provide the last mile connectivity in an integrated citywide multimodal public transport network”.</w:t>
      </w:r>
      <w:r w:rsidR="00412511">
        <w:rPr>
          <w:lang w:val="en-US"/>
        </w:rPr>
        <w:t xml:space="preserve"> </w:t>
      </w:r>
      <w:r w:rsidR="00502DF3" w:rsidRPr="00502DF3">
        <w:rPr>
          <w:lang w:val="en-US"/>
        </w:rPr>
        <w:t xml:space="preserve">The new National Urban Transport Policy (NUTP) </w:t>
      </w:r>
      <w:r w:rsidR="00502DF3" w:rsidRPr="00502DF3">
        <w:rPr>
          <w:bCs/>
          <w:lang w:val="en-US"/>
        </w:rPr>
        <w:t xml:space="preserve">for the first time explicitly </w:t>
      </w:r>
      <w:r w:rsidR="008F4B2E">
        <w:rPr>
          <w:bCs/>
          <w:lang w:val="en-US"/>
        </w:rPr>
        <w:t xml:space="preserve">covers </w:t>
      </w:r>
      <w:r w:rsidR="00502DF3" w:rsidRPr="00502DF3">
        <w:rPr>
          <w:bCs/>
          <w:lang w:val="en-US"/>
        </w:rPr>
        <w:t xml:space="preserve">“last mile connectivity”. It broadens the scope of multi-modal integration to include “private modes of transport i.e. walk, cycle, cars and 2-wheelers and </w:t>
      </w:r>
      <w:proofErr w:type="spellStart"/>
      <w:r w:rsidR="00502DF3" w:rsidRPr="00502DF3">
        <w:rPr>
          <w:bCs/>
          <w:lang w:val="en-US"/>
        </w:rPr>
        <w:t>para</w:t>
      </w:r>
      <w:proofErr w:type="spellEnd"/>
      <w:r w:rsidR="00502DF3" w:rsidRPr="00502DF3">
        <w:rPr>
          <w:bCs/>
          <w:lang w:val="en-US"/>
        </w:rPr>
        <w:t xml:space="preserve"> transit modes i.e. tempos, autos, mini bus and cycle rickshaw to the mass rapid transit network” which was previously “limited to integration of buses with Metro rail” (IUTI, 2014). The policy also recognizes the significance of improving last mile connectivity to public transport through provision of footpaths and cycle lanes, provision of feeder services, and incorporating design principle to promote safety, accessibility, reliability and affordability, amongst other measures.</w:t>
      </w:r>
    </w:p>
    <w:p w14:paraId="66170CB1" w14:textId="7C8638C3" w:rsidR="00502DF3" w:rsidRPr="004425EB" w:rsidRDefault="00502DF3" w:rsidP="004425EB">
      <w:pPr>
        <w:ind w:firstLine="720"/>
        <w:rPr>
          <w:lang w:val="en-US"/>
        </w:rPr>
      </w:pPr>
      <w:r w:rsidRPr="00502DF3">
        <w:rPr>
          <w:lang w:val="en-US"/>
        </w:rPr>
        <w:t xml:space="preserve">However, the realization of policy to planning </w:t>
      </w:r>
      <w:r w:rsidR="00AB1A5A">
        <w:rPr>
          <w:lang w:val="en-US"/>
        </w:rPr>
        <w:t xml:space="preserve">and its manifestation on ground </w:t>
      </w:r>
      <w:r w:rsidRPr="00502DF3">
        <w:rPr>
          <w:lang w:val="en-US"/>
        </w:rPr>
        <w:t xml:space="preserve">is yet at a very nascent stage in most Indian cities including Delhi. Most cities take up transit system and NMT planning in isolation to each other. It is also true that while cities have been enthusiastic in introducing transit systems, there has been rather lackadaisical approach towards NMT planning and its integration with transit systems. There is very little work done in the field; and little of what has been done, has focused on mere provisioning of </w:t>
      </w:r>
      <w:r w:rsidR="00AB1A5A">
        <w:rPr>
          <w:lang w:val="en-US"/>
        </w:rPr>
        <w:t xml:space="preserve">low capacity </w:t>
      </w:r>
      <w:r w:rsidRPr="00502DF3">
        <w:rPr>
          <w:lang w:val="en-US"/>
        </w:rPr>
        <w:t xml:space="preserve">feeder </w:t>
      </w:r>
      <w:r w:rsidR="00AB1A5A">
        <w:rPr>
          <w:lang w:val="en-US"/>
        </w:rPr>
        <w:t xml:space="preserve">bus </w:t>
      </w:r>
      <w:r w:rsidRPr="00502DF3">
        <w:rPr>
          <w:lang w:val="en-US"/>
        </w:rPr>
        <w:t xml:space="preserve">services, without understanding user behavior </w:t>
      </w:r>
      <w:r w:rsidR="00AB1A5A">
        <w:rPr>
          <w:lang w:val="en-US"/>
        </w:rPr>
        <w:t xml:space="preserve">and requirements </w:t>
      </w:r>
      <w:r w:rsidRPr="00502DF3">
        <w:rPr>
          <w:lang w:val="en-US"/>
        </w:rPr>
        <w:t>with respect to varying conditions.</w:t>
      </w:r>
      <w:r w:rsidR="00AB1A5A">
        <w:rPr>
          <w:lang w:val="en-US"/>
        </w:rPr>
        <w:t xml:space="preserve"> </w:t>
      </w:r>
      <w:r w:rsidR="0066718B">
        <w:rPr>
          <w:lang w:val="en-US"/>
        </w:rPr>
        <w:t xml:space="preserve">As pointed out earlier, a high percentage of public transport users are also pedestrians, it is essential that at least all streets leading to transit stations </w:t>
      </w:r>
      <w:proofErr w:type="gramStart"/>
      <w:r w:rsidR="0066718B">
        <w:rPr>
          <w:lang w:val="en-US"/>
        </w:rPr>
        <w:t>are</w:t>
      </w:r>
      <w:proofErr w:type="gramEnd"/>
      <w:r w:rsidR="0066718B">
        <w:rPr>
          <w:lang w:val="en-US"/>
        </w:rPr>
        <w:t xml:space="preserve"> made NMT-friendly. This sensitivity in planning and even more at ground-level implementation is rather lacking, which is evident from </w:t>
      </w:r>
      <w:r w:rsidR="00B80D5D">
        <w:rPr>
          <w:lang w:val="en-US"/>
        </w:rPr>
        <w:t xml:space="preserve">the money spent on provision of NMT infrastructure. Despite the city transport </w:t>
      </w:r>
      <w:r w:rsidR="004425EB" w:rsidRPr="004425EB">
        <w:rPr>
          <w:lang w:val="en-US"/>
        </w:rPr>
        <w:t xml:space="preserve">budgets almost doubling between 2002-07, 80% of the money </w:t>
      </w:r>
      <w:r w:rsidR="00B80D5D">
        <w:rPr>
          <w:lang w:val="en-US"/>
        </w:rPr>
        <w:t xml:space="preserve">was </w:t>
      </w:r>
      <w:r w:rsidR="004425EB" w:rsidRPr="004425EB">
        <w:rPr>
          <w:lang w:val="en-US"/>
        </w:rPr>
        <w:t>spent on widening roads, som</w:t>
      </w:r>
      <w:r w:rsidR="00B80D5D">
        <w:rPr>
          <w:lang w:val="en-US"/>
        </w:rPr>
        <w:t>etimes at the cost of sidewalks, with h</w:t>
      </w:r>
      <w:r w:rsidR="004425EB" w:rsidRPr="004425EB">
        <w:rPr>
          <w:lang w:val="en-US"/>
        </w:rPr>
        <w:t xml:space="preserve">ardly any </w:t>
      </w:r>
      <w:r w:rsidR="00B80D5D">
        <w:rPr>
          <w:lang w:val="en-US"/>
        </w:rPr>
        <w:t>been</w:t>
      </w:r>
      <w:r w:rsidR="004425EB" w:rsidRPr="004425EB">
        <w:rPr>
          <w:lang w:val="en-US"/>
        </w:rPr>
        <w:t xml:space="preserve"> spent on pedestrian facilities</w:t>
      </w:r>
      <w:r w:rsidR="00B80D5D">
        <w:rPr>
          <w:lang w:val="en-US"/>
        </w:rPr>
        <w:t xml:space="preserve"> (TNN, 2009)</w:t>
      </w:r>
      <w:r w:rsidR="0066718B" w:rsidRPr="004425EB">
        <w:rPr>
          <w:lang w:val="en-US"/>
        </w:rPr>
        <w:t xml:space="preserve">. </w:t>
      </w:r>
    </w:p>
    <w:p w14:paraId="15995B5C" w14:textId="77777777" w:rsidR="0042172E" w:rsidRPr="00557DC8" w:rsidRDefault="0042172E" w:rsidP="00A24D76">
      <w:pPr>
        <w:widowControl w:val="0"/>
      </w:pPr>
    </w:p>
    <w:p w14:paraId="428A672B" w14:textId="7EF645DB" w:rsidR="0042172E" w:rsidRPr="00755B90" w:rsidRDefault="000F5900" w:rsidP="00755B90">
      <w:pPr>
        <w:widowControl w:val="0"/>
        <w:jc w:val="left"/>
        <w:rPr>
          <w:b/>
        </w:rPr>
      </w:pPr>
      <w:r>
        <w:rPr>
          <w:b/>
        </w:rPr>
        <w:t>3</w:t>
      </w:r>
      <w:r w:rsidR="005413E4">
        <w:rPr>
          <w:b/>
        </w:rPr>
        <w:t>.0 DELHI METRO TRANSIT USAGE</w:t>
      </w:r>
    </w:p>
    <w:p w14:paraId="07E53273" w14:textId="77777777" w:rsidR="00622482" w:rsidRDefault="00622482" w:rsidP="00607D4D">
      <w:pPr>
        <w:widowControl w:val="0"/>
        <w:jc w:val="left"/>
      </w:pPr>
    </w:p>
    <w:p w14:paraId="6A0D9228" w14:textId="1C8669EF" w:rsidR="005413E4" w:rsidRPr="006B279C" w:rsidRDefault="00A14E7A" w:rsidP="005413E4">
      <w:r w:rsidRPr="006B279C">
        <w:t xml:space="preserve">Since its first operation in </w:t>
      </w:r>
      <w:proofErr w:type="gramStart"/>
      <w:r w:rsidRPr="006B279C">
        <w:t>December,</w:t>
      </w:r>
      <w:proofErr w:type="gramEnd"/>
      <w:r w:rsidRPr="006B279C">
        <w:t xml:space="preserve"> 2002, t</w:t>
      </w:r>
      <w:r w:rsidR="005413E4" w:rsidRPr="006B279C">
        <w:t xml:space="preserve">he Delhi Metro network </w:t>
      </w:r>
      <w:r w:rsidRPr="006B279C">
        <w:t>has expanded to</w:t>
      </w:r>
      <w:r w:rsidR="005413E4" w:rsidRPr="006B279C">
        <w:t xml:space="preserve"> 193 operational kilometres with 146 stations. </w:t>
      </w:r>
      <w:r w:rsidR="00D73F42" w:rsidRPr="006B279C">
        <w:t>The total length, number of stations developed for various lines, and the average daily ridership for ea</w:t>
      </w:r>
      <w:r w:rsidR="00463C68">
        <w:t>ch line are indicated in Table 3</w:t>
      </w:r>
      <w:r w:rsidR="00D73F42" w:rsidRPr="006B279C">
        <w:t xml:space="preserve">.1. </w:t>
      </w:r>
    </w:p>
    <w:p w14:paraId="25ACEF43" w14:textId="77777777" w:rsidR="005413E4" w:rsidRPr="00004C4B" w:rsidRDefault="005413E4" w:rsidP="005413E4">
      <w:pPr>
        <w:rPr>
          <w:b/>
          <w:bCs/>
          <w:sz w:val="22"/>
          <w:szCs w:val="22"/>
        </w:rPr>
      </w:pPr>
    </w:p>
    <w:p w14:paraId="766391F0" w14:textId="0D76A4BF" w:rsidR="005413E4" w:rsidRPr="00004C4B" w:rsidRDefault="00463C68" w:rsidP="005413E4">
      <w:pPr>
        <w:jc w:val="center"/>
        <w:rPr>
          <w:b/>
          <w:sz w:val="22"/>
          <w:szCs w:val="22"/>
        </w:rPr>
      </w:pPr>
      <w:r>
        <w:rPr>
          <w:b/>
          <w:sz w:val="22"/>
          <w:szCs w:val="22"/>
        </w:rPr>
        <w:t>Table 3</w:t>
      </w:r>
      <w:r w:rsidR="00D73F42">
        <w:rPr>
          <w:b/>
          <w:sz w:val="22"/>
          <w:szCs w:val="22"/>
        </w:rPr>
        <w:t xml:space="preserve">.1 </w:t>
      </w:r>
      <w:r w:rsidR="005413E4" w:rsidRPr="00004C4B">
        <w:rPr>
          <w:b/>
          <w:sz w:val="22"/>
          <w:szCs w:val="22"/>
        </w:rPr>
        <w:t>Line-wise characteristics of Delhi Metro</w:t>
      </w:r>
    </w:p>
    <w:tbl>
      <w:tblPr>
        <w:tblW w:w="372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786"/>
        <w:gridCol w:w="952"/>
        <w:gridCol w:w="850"/>
        <w:gridCol w:w="1134"/>
      </w:tblGrid>
      <w:tr w:rsidR="005413E4" w:rsidRPr="000657A2" w14:paraId="563ABE4B" w14:textId="77777777" w:rsidTr="000657A2">
        <w:trPr>
          <w:trHeight w:val="300"/>
          <w:jc w:val="center"/>
        </w:trPr>
        <w:tc>
          <w:tcPr>
            <w:tcW w:w="786" w:type="dxa"/>
            <w:shd w:val="clear" w:color="auto" w:fill="auto"/>
            <w:noWrap/>
            <w:hideMark/>
          </w:tcPr>
          <w:p w14:paraId="64E291A8" w14:textId="2962F21C" w:rsidR="005413E4" w:rsidRPr="000657A2" w:rsidRDefault="005413E4" w:rsidP="00117A79">
            <w:pPr>
              <w:jc w:val="left"/>
              <w:rPr>
                <w:b/>
                <w:color w:val="000000"/>
                <w:sz w:val="22"/>
                <w:szCs w:val="22"/>
              </w:rPr>
            </w:pPr>
            <w:r w:rsidRPr="000657A2">
              <w:rPr>
                <w:b/>
                <w:color w:val="000000"/>
                <w:sz w:val="22"/>
                <w:szCs w:val="22"/>
              </w:rPr>
              <w:t>Line</w:t>
            </w:r>
          </w:p>
        </w:tc>
        <w:tc>
          <w:tcPr>
            <w:tcW w:w="952" w:type="dxa"/>
            <w:shd w:val="clear" w:color="auto" w:fill="auto"/>
            <w:noWrap/>
            <w:hideMark/>
          </w:tcPr>
          <w:p w14:paraId="2B7518C9" w14:textId="77777777" w:rsidR="000657A2" w:rsidRDefault="005413E4" w:rsidP="00117A79">
            <w:pPr>
              <w:jc w:val="left"/>
              <w:rPr>
                <w:b/>
                <w:color w:val="000000"/>
                <w:sz w:val="22"/>
                <w:szCs w:val="22"/>
              </w:rPr>
            </w:pPr>
            <w:r w:rsidRPr="000657A2">
              <w:rPr>
                <w:b/>
                <w:color w:val="000000"/>
                <w:sz w:val="22"/>
                <w:szCs w:val="22"/>
              </w:rPr>
              <w:t xml:space="preserve">No. </w:t>
            </w:r>
            <w:proofErr w:type="gramStart"/>
            <w:r w:rsidRPr="000657A2">
              <w:rPr>
                <w:b/>
                <w:color w:val="000000"/>
                <w:sz w:val="22"/>
                <w:szCs w:val="22"/>
              </w:rPr>
              <w:t>of</w:t>
            </w:r>
            <w:proofErr w:type="gramEnd"/>
            <w:r w:rsidRPr="000657A2">
              <w:rPr>
                <w:b/>
                <w:color w:val="000000"/>
                <w:sz w:val="22"/>
                <w:szCs w:val="22"/>
              </w:rPr>
              <w:t xml:space="preserve"> </w:t>
            </w:r>
          </w:p>
          <w:p w14:paraId="62FAC268" w14:textId="4644A89E" w:rsidR="005413E4" w:rsidRPr="000657A2" w:rsidRDefault="005413E4" w:rsidP="00117A79">
            <w:pPr>
              <w:jc w:val="left"/>
              <w:rPr>
                <w:b/>
                <w:color w:val="000000"/>
                <w:sz w:val="22"/>
                <w:szCs w:val="22"/>
              </w:rPr>
            </w:pPr>
            <w:r w:rsidRPr="000657A2">
              <w:rPr>
                <w:b/>
                <w:color w:val="000000"/>
                <w:sz w:val="22"/>
                <w:szCs w:val="22"/>
              </w:rPr>
              <w:t>Stations</w:t>
            </w:r>
          </w:p>
        </w:tc>
        <w:tc>
          <w:tcPr>
            <w:tcW w:w="850" w:type="dxa"/>
            <w:shd w:val="clear" w:color="auto" w:fill="auto"/>
            <w:noWrap/>
            <w:hideMark/>
          </w:tcPr>
          <w:p w14:paraId="3B009D3F" w14:textId="53EEE1C8" w:rsidR="00117A79" w:rsidRPr="000657A2" w:rsidRDefault="005413E4" w:rsidP="00117A79">
            <w:pPr>
              <w:jc w:val="left"/>
              <w:rPr>
                <w:b/>
                <w:color w:val="000000"/>
                <w:sz w:val="22"/>
                <w:szCs w:val="22"/>
              </w:rPr>
            </w:pPr>
            <w:r w:rsidRPr="000657A2">
              <w:rPr>
                <w:b/>
                <w:color w:val="000000"/>
                <w:sz w:val="22"/>
                <w:szCs w:val="22"/>
              </w:rPr>
              <w:t>Length</w:t>
            </w:r>
          </w:p>
          <w:p w14:paraId="4900EA98" w14:textId="219D44BE" w:rsidR="005413E4" w:rsidRPr="000657A2" w:rsidRDefault="005413E4" w:rsidP="00117A79">
            <w:pPr>
              <w:jc w:val="left"/>
              <w:rPr>
                <w:b/>
                <w:color w:val="000000"/>
                <w:sz w:val="22"/>
                <w:szCs w:val="22"/>
              </w:rPr>
            </w:pPr>
            <w:r w:rsidRPr="000657A2">
              <w:rPr>
                <w:b/>
                <w:color w:val="000000"/>
                <w:sz w:val="22"/>
                <w:szCs w:val="22"/>
              </w:rPr>
              <w:t>(</w:t>
            </w:r>
            <w:proofErr w:type="gramStart"/>
            <w:r w:rsidRPr="000657A2">
              <w:rPr>
                <w:b/>
                <w:color w:val="000000"/>
                <w:sz w:val="22"/>
                <w:szCs w:val="22"/>
              </w:rPr>
              <w:t>in</w:t>
            </w:r>
            <w:proofErr w:type="gramEnd"/>
            <w:r w:rsidRPr="000657A2">
              <w:rPr>
                <w:b/>
                <w:color w:val="000000"/>
                <w:sz w:val="22"/>
                <w:szCs w:val="22"/>
              </w:rPr>
              <w:t xml:space="preserve"> km)</w:t>
            </w:r>
          </w:p>
        </w:tc>
        <w:tc>
          <w:tcPr>
            <w:tcW w:w="1134" w:type="dxa"/>
            <w:shd w:val="clear" w:color="auto" w:fill="auto"/>
            <w:noWrap/>
            <w:hideMark/>
          </w:tcPr>
          <w:p w14:paraId="530587D2" w14:textId="77777777" w:rsidR="000657A2" w:rsidRDefault="005413E4" w:rsidP="00117A79">
            <w:pPr>
              <w:jc w:val="left"/>
              <w:rPr>
                <w:b/>
                <w:color w:val="000000"/>
                <w:sz w:val="22"/>
                <w:szCs w:val="22"/>
              </w:rPr>
            </w:pPr>
            <w:r w:rsidRPr="000657A2">
              <w:rPr>
                <w:b/>
                <w:color w:val="000000"/>
                <w:sz w:val="22"/>
                <w:szCs w:val="22"/>
              </w:rPr>
              <w:t xml:space="preserve">Avg. Daily </w:t>
            </w:r>
          </w:p>
          <w:p w14:paraId="4334A8C1" w14:textId="163855A3" w:rsidR="005413E4" w:rsidRPr="000657A2" w:rsidRDefault="005413E4" w:rsidP="00117A79">
            <w:pPr>
              <w:jc w:val="left"/>
              <w:rPr>
                <w:b/>
                <w:color w:val="000000"/>
                <w:sz w:val="22"/>
                <w:szCs w:val="22"/>
              </w:rPr>
            </w:pPr>
            <w:r w:rsidRPr="000657A2">
              <w:rPr>
                <w:b/>
                <w:color w:val="000000"/>
                <w:sz w:val="22"/>
                <w:szCs w:val="22"/>
              </w:rPr>
              <w:t>Ridership</w:t>
            </w:r>
          </w:p>
        </w:tc>
      </w:tr>
      <w:tr w:rsidR="005413E4" w:rsidRPr="00004C4B" w14:paraId="3567309A" w14:textId="77777777" w:rsidTr="000657A2">
        <w:trPr>
          <w:trHeight w:val="300"/>
          <w:jc w:val="center"/>
        </w:trPr>
        <w:tc>
          <w:tcPr>
            <w:tcW w:w="786" w:type="dxa"/>
            <w:shd w:val="clear" w:color="auto" w:fill="auto"/>
            <w:noWrap/>
            <w:vAlign w:val="bottom"/>
            <w:hideMark/>
          </w:tcPr>
          <w:p w14:paraId="26A31658" w14:textId="77777777" w:rsidR="005413E4" w:rsidRPr="00004C4B" w:rsidRDefault="005413E4" w:rsidP="005413E4">
            <w:pPr>
              <w:jc w:val="left"/>
              <w:rPr>
                <w:color w:val="000000"/>
                <w:sz w:val="22"/>
                <w:szCs w:val="22"/>
              </w:rPr>
            </w:pPr>
            <w:r w:rsidRPr="00004C4B">
              <w:rPr>
                <w:color w:val="000000"/>
                <w:sz w:val="22"/>
                <w:szCs w:val="22"/>
              </w:rPr>
              <w:t>Yellow</w:t>
            </w:r>
          </w:p>
        </w:tc>
        <w:tc>
          <w:tcPr>
            <w:tcW w:w="952" w:type="dxa"/>
            <w:shd w:val="clear" w:color="auto" w:fill="auto"/>
            <w:noWrap/>
            <w:vAlign w:val="bottom"/>
            <w:hideMark/>
          </w:tcPr>
          <w:p w14:paraId="599CF24D" w14:textId="77777777" w:rsidR="005413E4" w:rsidRPr="00004C4B" w:rsidRDefault="005413E4" w:rsidP="005413E4">
            <w:pPr>
              <w:jc w:val="center"/>
              <w:rPr>
                <w:color w:val="000000"/>
                <w:sz w:val="22"/>
                <w:szCs w:val="22"/>
              </w:rPr>
            </w:pPr>
            <w:r w:rsidRPr="00004C4B">
              <w:rPr>
                <w:color w:val="000000"/>
                <w:sz w:val="22"/>
                <w:szCs w:val="22"/>
              </w:rPr>
              <w:t>34</w:t>
            </w:r>
          </w:p>
        </w:tc>
        <w:tc>
          <w:tcPr>
            <w:tcW w:w="850" w:type="dxa"/>
            <w:shd w:val="clear" w:color="auto" w:fill="auto"/>
            <w:noWrap/>
            <w:vAlign w:val="bottom"/>
            <w:hideMark/>
          </w:tcPr>
          <w:p w14:paraId="750866FC" w14:textId="77777777" w:rsidR="005413E4" w:rsidRPr="00004C4B" w:rsidRDefault="005413E4" w:rsidP="005413E4">
            <w:pPr>
              <w:jc w:val="center"/>
              <w:rPr>
                <w:color w:val="000000"/>
                <w:sz w:val="22"/>
                <w:szCs w:val="22"/>
              </w:rPr>
            </w:pPr>
            <w:r w:rsidRPr="00004C4B">
              <w:rPr>
                <w:color w:val="000000"/>
                <w:sz w:val="22"/>
                <w:szCs w:val="22"/>
              </w:rPr>
              <w:t>44.65</w:t>
            </w:r>
          </w:p>
        </w:tc>
        <w:tc>
          <w:tcPr>
            <w:tcW w:w="1134" w:type="dxa"/>
            <w:shd w:val="clear" w:color="auto" w:fill="auto"/>
            <w:noWrap/>
            <w:vAlign w:val="bottom"/>
            <w:hideMark/>
          </w:tcPr>
          <w:p w14:paraId="5E63CAC8" w14:textId="77777777" w:rsidR="005413E4" w:rsidRPr="00004C4B" w:rsidRDefault="005413E4" w:rsidP="005413E4">
            <w:pPr>
              <w:jc w:val="center"/>
              <w:rPr>
                <w:b/>
                <w:color w:val="000000"/>
                <w:sz w:val="22"/>
                <w:szCs w:val="22"/>
              </w:rPr>
            </w:pPr>
            <w:r w:rsidRPr="00004C4B">
              <w:rPr>
                <w:b/>
                <w:color w:val="000000"/>
                <w:sz w:val="22"/>
                <w:szCs w:val="22"/>
              </w:rPr>
              <w:t>9,62,144</w:t>
            </w:r>
          </w:p>
        </w:tc>
      </w:tr>
      <w:tr w:rsidR="005413E4" w:rsidRPr="00004C4B" w14:paraId="51013B71" w14:textId="77777777" w:rsidTr="000657A2">
        <w:trPr>
          <w:trHeight w:val="300"/>
          <w:jc w:val="center"/>
        </w:trPr>
        <w:tc>
          <w:tcPr>
            <w:tcW w:w="786" w:type="dxa"/>
            <w:shd w:val="clear" w:color="auto" w:fill="auto"/>
            <w:noWrap/>
            <w:vAlign w:val="bottom"/>
            <w:hideMark/>
          </w:tcPr>
          <w:p w14:paraId="52C04488" w14:textId="77777777" w:rsidR="005413E4" w:rsidRPr="00004C4B" w:rsidRDefault="005413E4" w:rsidP="005413E4">
            <w:pPr>
              <w:jc w:val="left"/>
              <w:rPr>
                <w:color w:val="000000"/>
                <w:sz w:val="22"/>
                <w:szCs w:val="22"/>
              </w:rPr>
            </w:pPr>
            <w:r w:rsidRPr="00004C4B">
              <w:rPr>
                <w:color w:val="000000"/>
                <w:sz w:val="22"/>
                <w:szCs w:val="22"/>
              </w:rPr>
              <w:t>Blue</w:t>
            </w:r>
          </w:p>
        </w:tc>
        <w:tc>
          <w:tcPr>
            <w:tcW w:w="952" w:type="dxa"/>
            <w:shd w:val="clear" w:color="auto" w:fill="auto"/>
            <w:noWrap/>
            <w:vAlign w:val="bottom"/>
            <w:hideMark/>
          </w:tcPr>
          <w:p w14:paraId="35120546" w14:textId="77777777" w:rsidR="005413E4" w:rsidRPr="00004C4B" w:rsidRDefault="005413E4" w:rsidP="005413E4">
            <w:pPr>
              <w:jc w:val="center"/>
              <w:rPr>
                <w:color w:val="000000"/>
                <w:sz w:val="22"/>
                <w:szCs w:val="22"/>
              </w:rPr>
            </w:pPr>
            <w:r w:rsidRPr="00004C4B">
              <w:rPr>
                <w:color w:val="000000"/>
                <w:sz w:val="22"/>
                <w:szCs w:val="22"/>
              </w:rPr>
              <w:t>51</w:t>
            </w:r>
          </w:p>
        </w:tc>
        <w:tc>
          <w:tcPr>
            <w:tcW w:w="850" w:type="dxa"/>
            <w:shd w:val="clear" w:color="auto" w:fill="auto"/>
            <w:noWrap/>
            <w:vAlign w:val="bottom"/>
            <w:hideMark/>
          </w:tcPr>
          <w:p w14:paraId="0F612F8A" w14:textId="77777777" w:rsidR="005413E4" w:rsidRPr="00004C4B" w:rsidRDefault="005413E4" w:rsidP="005413E4">
            <w:pPr>
              <w:jc w:val="center"/>
              <w:rPr>
                <w:color w:val="000000"/>
                <w:sz w:val="22"/>
                <w:szCs w:val="22"/>
              </w:rPr>
            </w:pPr>
            <w:r w:rsidRPr="00004C4B">
              <w:rPr>
                <w:color w:val="000000"/>
                <w:sz w:val="22"/>
                <w:szCs w:val="22"/>
              </w:rPr>
              <w:t>58.67</w:t>
            </w:r>
          </w:p>
        </w:tc>
        <w:tc>
          <w:tcPr>
            <w:tcW w:w="1134" w:type="dxa"/>
            <w:shd w:val="clear" w:color="auto" w:fill="auto"/>
            <w:noWrap/>
            <w:vAlign w:val="bottom"/>
            <w:hideMark/>
          </w:tcPr>
          <w:p w14:paraId="1E698432" w14:textId="77777777" w:rsidR="005413E4" w:rsidRPr="00004C4B" w:rsidRDefault="005413E4" w:rsidP="005413E4">
            <w:pPr>
              <w:jc w:val="center"/>
              <w:rPr>
                <w:b/>
                <w:color w:val="000000"/>
                <w:sz w:val="22"/>
                <w:szCs w:val="22"/>
              </w:rPr>
            </w:pPr>
            <w:r w:rsidRPr="00004C4B">
              <w:rPr>
                <w:b/>
                <w:color w:val="000000"/>
                <w:sz w:val="22"/>
                <w:szCs w:val="22"/>
              </w:rPr>
              <w:t>7,30,983</w:t>
            </w:r>
          </w:p>
        </w:tc>
      </w:tr>
      <w:tr w:rsidR="005413E4" w:rsidRPr="00004C4B" w14:paraId="38C92B7A" w14:textId="77777777" w:rsidTr="000657A2">
        <w:trPr>
          <w:trHeight w:val="300"/>
          <w:jc w:val="center"/>
        </w:trPr>
        <w:tc>
          <w:tcPr>
            <w:tcW w:w="786" w:type="dxa"/>
            <w:shd w:val="clear" w:color="auto" w:fill="auto"/>
            <w:noWrap/>
            <w:vAlign w:val="bottom"/>
            <w:hideMark/>
          </w:tcPr>
          <w:p w14:paraId="3752509E" w14:textId="77777777" w:rsidR="005413E4" w:rsidRPr="00004C4B" w:rsidRDefault="005413E4" w:rsidP="005413E4">
            <w:pPr>
              <w:jc w:val="left"/>
              <w:rPr>
                <w:color w:val="000000"/>
                <w:sz w:val="22"/>
                <w:szCs w:val="22"/>
              </w:rPr>
            </w:pPr>
            <w:r w:rsidRPr="00004C4B">
              <w:rPr>
                <w:color w:val="000000"/>
                <w:sz w:val="22"/>
                <w:szCs w:val="22"/>
              </w:rPr>
              <w:t>Red</w:t>
            </w:r>
          </w:p>
        </w:tc>
        <w:tc>
          <w:tcPr>
            <w:tcW w:w="952" w:type="dxa"/>
            <w:shd w:val="clear" w:color="auto" w:fill="auto"/>
            <w:noWrap/>
            <w:vAlign w:val="bottom"/>
            <w:hideMark/>
          </w:tcPr>
          <w:p w14:paraId="6BEB8CD2" w14:textId="77777777" w:rsidR="005413E4" w:rsidRPr="00004C4B" w:rsidRDefault="005413E4" w:rsidP="005413E4">
            <w:pPr>
              <w:jc w:val="center"/>
              <w:rPr>
                <w:color w:val="000000"/>
                <w:sz w:val="22"/>
                <w:szCs w:val="22"/>
              </w:rPr>
            </w:pPr>
            <w:r w:rsidRPr="00004C4B">
              <w:rPr>
                <w:color w:val="000000"/>
                <w:sz w:val="22"/>
                <w:szCs w:val="22"/>
              </w:rPr>
              <w:t>21</w:t>
            </w:r>
          </w:p>
        </w:tc>
        <w:tc>
          <w:tcPr>
            <w:tcW w:w="850" w:type="dxa"/>
            <w:shd w:val="clear" w:color="auto" w:fill="auto"/>
            <w:noWrap/>
            <w:vAlign w:val="bottom"/>
            <w:hideMark/>
          </w:tcPr>
          <w:p w14:paraId="468642CF" w14:textId="77777777" w:rsidR="005413E4" w:rsidRPr="00004C4B" w:rsidRDefault="005413E4" w:rsidP="005413E4">
            <w:pPr>
              <w:jc w:val="center"/>
              <w:rPr>
                <w:color w:val="000000"/>
                <w:sz w:val="22"/>
                <w:szCs w:val="22"/>
              </w:rPr>
            </w:pPr>
            <w:r w:rsidRPr="00004C4B">
              <w:rPr>
                <w:color w:val="000000"/>
                <w:sz w:val="22"/>
                <w:szCs w:val="22"/>
              </w:rPr>
              <w:t>25.09</w:t>
            </w:r>
          </w:p>
        </w:tc>
        <w:tc>
          <w:tcPr>
            <w:tcW w:w="1134" w:type="dxa"/>
            <w:shd w:val="clear" w:color="auto" w:fill="auto"/>
            <w:noWrap/>
            <w:vAlign w:val="bottom"/>
            <w:hideMark/>
          </w:tcPr>
          <w:p w14:paraId="27BDD60B" w14:textId="77777777" w:rsidR="005413E4" w:rsidRPr="00004C4B" w:rsidRDefault="005413E4" w:rsidP="005413E4">
            <w:pPr>
              <w:jc w:val="center"/>
              <w:rPr>
                <w:b/>
                <w:color w:val="000000"/>
                <w:sz w:val="22"/>
                <w:szCs w:val="22"/>
              </w:rPr>
            </w:pPr>
            <w:r w:rsidRPr="00004C4B">
              <w:rPr>
                <w:b/>
                <w:color w:val="000000"/>
                <w:sz w:val="22"/>
                <w:szCs w:val="22"/>
              </w:rPr>
              <w:t>8,18,709</w:t>
            </w:r>
          </w:p>
        </w:tc>
      </w:tr>
      <w:tr w:rsidR="005413E4" w:rsidRPr="00004C4B" w14:paraId="4CA9540C" w14:textId="77777777" w:rsidTr="000657A2">
        <w:trPr>
          <w:trHeight w:val="300"/>
          <w:jc w:val="center"/>
        </w:trPr>
        <w:tc>
          <w:tcPr>
            <w:tcW w:w="786" w:type="dxa"/>
            <w:shd w:val="clear" w:color="auto" w:fill="auto"/>
            <w:noWrap/>
            <w:vAlign w:val="bottom"/>
            <w:hideMark/>
          </w:tcPr>
          <w:p w14:paraId="1895CC1A" w14:textId="77777777" w:rsidR="005413E4" w:rsidRPr="00004C4B" w:rsidRDefault="005413E4" w:rsidP="005413E4">
            <w:pPr>
              <w:jc w:val="left"/>
              <w:rPr>
                <w:color w:val="000000"/>
                <w:sz w:val="22"/>
                <w:szCs w:val="22"/>
              </w:rPr>
            </w:pPr>
            <w:r w:rsidRPr="00004C4B">
              <w:rPr>
                <w:color w:val="000000"/>
                <w:sz w:val="22"/>
                <w:szCs w:val="22"/>
              </w:rPr>
              <w:t>Green</w:t>
            </w:r>
          </w:p>
        </w:tc>
        <w:tc>
          <w:tcPr>
            <w:tcW w:w="952" w:type="dxa"/>
            <w:shd w:val="clear" w:color="auto" w:fill="auto"/>
            <w:noWrap/>
            <w:vAlign w:val="bottom"/>
            <w:hideMark/>
          </w:tcPr>
          <w:p w14:paraId="45C3C0AF" w14:textId="77777777" w:rsidR="005413E4" w:rsidRPr="00004C4B" w:rsidRDefault="005413E4" w:rsidP="005413E4">
            <w:pPr>
              <w:jc w:val="center"/>
              <w:rPr>
                <w:color w:val="000000"/>
                <w:sz w:val="22"/>
                <w:szCs w:val="22"/>
              </w:rPr>
            </w:pPr>
            <w:r w:rsidRPr="00004C4B">
              <w:rPr>
                <w:color w:val="000000"/>
                <w:sz w:val="22"/>
                <w:szCs w:val="22"/>
              </w:rPr>
              <w:t>16</w:t>
            </w:r>
          </w:p>
        </w:tc>
        <w:tc>
          <w:tcPr>
            <w:tcW w:w="850" w:type="dxa"/>
            <w:shd w:val="clear" w:color="auto" w:fill="auto"/>
            <w:noWrap/>
            <w:vAlign w:val="bottom"/>
            <w:hideMark/>
          </w:tcPr>
          <w:p w14:paraId="01C3DF1B" w14:textId="77777777" w:rsidR="005413E4" w:rsidRPr="00004C4B" w:rsidRDefault="005413E4" w:rsidP="005413E4">
            <w:pPr>
              <w:jc w:val="center"/>
              <w:rPr>
                <w:color w:val="000000"/>
                <w:sz w:val="22"/>
                <w:szCs w:val="22"/>
              </w:rPr>
            </w:pPr>
            <w:r w:rsidRPr="00004C4B">
              <w:rPr>
                <w:color w:val="000000"/>
                <w:sz w:val="22"/>
                <w:szCs w:val="22"/>
              </w:rPr>
              <w:t>18.46</w:t>
            </w:r>
          </w:p>
        </w:tc>
        <w:tc>
          <w:tcPr>
            <w:tcW w:w="1134" w:type="dxa"/>
            <w:shd w:val="clear" w:color="auto" w:fill="auto"/>
            <w:noWrap/>
            <w:vAlign w:val="bottom"/>
            <w:hideMark/>
          </w:tcPr>
          <w:p w14:paraId="5252C701" w14:textId="77777777" w:rsidR="005413E4" w:rsidRPr="00004C4B" w:rsidRDefault="005413E4" w:rsidP="005413E4">
            <w:pPr>
              <w:jc w:val="center"/>
              <w:rPr>
                <w:b/>
                <w:color w:val="000000"/>
                <w:sz w:val="22"/>
                <w:szCs w:val="22"/>
              </w:rPr>
            </w:pPr>
            <w:r w:rsidRPr="00004C4B">
              <w:rPr>
                <w:b/>
                <w:color w:val="000000"/>
                <w:sz w:val="22"/>
                <w:szCs w:val="22"/>
              </w:rPr>
              <w:t>73,542</w:t>
            </w:r>
          </w:p>
        </w:tc>
      </w:tr>
      <w:tr w:rsidR="005413E4" w:rsidRPr="00004C4B" w14:paraId="4CB0C142" w14:textId="77777777" w:rsidTr="000657A2">
        <w:trPr>
          <w:trHeight w:val="300"/>
          <w:jc w:val="center"/>
        </w:trPr>
        <w:tc>
          <w:tcPr>
            <w:tcW w:w="786" w:type="dxa"/>
            <w:shd w:val="clear" w:color="auto" w:fill="auto"/>
            <w:noWrap/>
            <w:vAlign w:val="bottom"/>
            <w:hideMark/>
          </w:tcPr>
          <w:p w14:paraId="170A234F" w14:textId="77777777" w:rsidR="005413E4" w:rsidRPr="00004C4B" w:rsidRDefault="005413E4" w:rsidP="005413E4">
            <w:pPr>
              <w:jc w:val="left"/>
              <w:rPr>
                <w:color w:val="000000"/>
                <w:sz w:val="22"/>
                <w:szCs w:val="22"/>
              </w:rPr>
            </w:pPr>
            <w:r w:rsidRPr="00004C4B">
              <w:rPr>
                <w:color w:val="000000"/>
                <w:sz w:val="22"/>
                <w:szCs w:val="22"/>
              </w:rPr>
              <w:t>Violet</w:t>
            </w:r>
          </w:p>
        </w:tc>
        <w:tc>
          <w:tcPr>
            <w:tcW w:w="952" w:type="dxa"/>
            <w:shd w:val="clear" w:color="auto" w:fill="auto"/>
            <w:noWrap/>
            <w:vAlign w:val="bottom"/>
            <w:hideMark/>
          </w:tcPr>
          <w:p w14:paraId="7AF94418" w14:textId="77777777" w:rsidR="005413E4" w:rsidRPr="00004C4B" w:rsidRDefault="005413E4" w:rsidP="005413E4">
            <w:pPr>
              <w:jc w:val="center"/>
              <w:rPr>
                <w:color w:val="000000"/>
                <w:sz w:val="22"/>
                <w:szCs w:val="22"/>
              </w:rPr>
            </w:pPr>
            <w:r w:rsidRPr="00004C4B">
              <w:rPr>
                <w:color w:val="000000"/>
                <w:sz w:val="22"/>
                <w:szCs w:val="22"/>
              </w:rPr>
              <w:t>18</w:t>
            </w:r>
          </w:p>
        </w:tc>
        <w:tc>
          <w:tcPr>
            <w:tcW w:w="850" w:type="dxa"/>
            <w:shd w:val="clear" w:color="auto" w:fill="auto"/>
            <w:noWrap/>
            <w:vAlign w:val="bottom"/>
            <w:hideMark/>
          </w:tcPr>
          <w:p w14:paraId="47B647FA" w14:textId="77777777" w:rsidR="005413E4" w:rsidRPr="00004C4B" w:rsidRDefault="005413E4" w:rsidP="005413E4">
            <w:pPr>
              <w:jc w:val="center"/>
              <w:rPr>
                <w:color w:val="000000"/>
                <w:sz w:val="22"/>
                <w:szCs w:val="22"/>
              </w:rPr>
            </w:pPr>
            <w:r w:rsidRPr="00004C4B">
              <w:rPr>
                <w:color w:val="000000"/>
                <w:sz w:val="22"/>
                <w:szCs w:val="22"/>
              </w:rPr>
              <w:t>23.24</w:t>
            </w:r>
          </w:p>
        </w:tc>
        <w:tc>
          <w:tcPr>
            <w:tcW w:w="1134" w:type="dxa"/>
            <w:shd w:val="clear" w:color="auto" w:fill="auto"/>
            <w:noWrap/>
            <w:vAlign w:val="bottom"/>
            <w:hideMark/>
          </w:tcPr>
          <w:p w14:paraId="36F41404" w14:textId="77777777" w:rsidR="005413E4" w:rsidRPr="00004C4B" w:rsidRDefault="005413E4" w:rsidP="005413E4">
            <w:pPr>
              <w:jc w:val="center"/>
              <w:rPr>
                <w:b/>
                <w:color w:val="000000"/>
                <w:sz w:val="22"/>
                <w:szCs w:val="22"/>
              </w:rPr>
            </w:pPr>
            <w:r w:rsidRPr="00004C4B">
              <w:rPr>
                <w:b/>
                <w:color w:val="000000"/>
                <w:sz w:val="22"/>
                <w:szCs w:val="22"/>
              </w:rPr>
              <w:t>1,53,191</w:t>
            </w:r>
          </w:p>
        </w:tc>
      </w:tr>
      <w:tr w:rsidR="005413E4" w:rsidRPr="00004C4B" w14:paraId="60AB7BFE" w14:textId="77777777" w:rsidTr="000657A2">
        <w:trPr>
          <w:trHeight w:val="300"/>
          <w:jc w:val="center"/>
        </w:trPr>
        <w:tc>
          <w:tcPr>
            <w:tcW w:w="786" w:type="dxa"/>
            <w:shd w:val="clear" w:color="auto" w:fill="auto"/>
            <w:noWrap/>
            <w:vAlign w:val="bottom"/>
            <w:hideMark/>
          </w:tcPr>
          <w:p w14:paraId="33F2D8B8" w14:textId="77777777" w:rsidR="005413E4" w:rsidRPr="00004C4B" w:rsidRDefault="005413E4" w:rsidP="005413E4">
            <w:pPr>
              <w:jc w:val="left"/>
              <w:rPr>
                <w:color w:val="000000"/>
                <w:sz w:val="22"/>
                <w:szCs w:val="22"/>
              </w:rPr>
            </w:pPr>
            <w:r w:rsidRPr="00004C4B">
              <w:rPr>
                <w:color w:val="000000"/>
                <w:sz w:val="22"/>
                <w:szCs w:val="22"/>
              </w:rPr>
              <w:t>Orange</w:t>
            </w:r>
          </w:p>
        </w:tc>
        <w:tc>
          <w:tcPr>
            <w:tcW w:w="952" w:type="dxa"/>
            <w:shd w:val="clear" w:color="auto" w:fill="auto"/>
            <w:noWrap/>
            <w:vAlign w:val="bottom"/>
            <w:hideMark/>
          </w:tcPr>
          <w:p w14:paraId="0670D939" w14:textId="77777777" w:rsidR="005413E4" w:rsidRPr="00004C4B" w:rsidRDefault="005413E4" w:rsidP="005413E4">
            <w:pPr>
              <w:jc w:val="center"/>
              <w:rPr>
                <w:color w:val="000000"/>
                <w:sz w:val="22"/>
                <w:szCs w:val="22"/>
              </w:rPr>
            </w:pPr>
            <w:r w:rsidRPr="00004C4B">
              <w:rPr>
                <w:color w:val="000000"/>
                <w:sz w:val="22"/>
                <w:szCs w:val="22"/>
              </w:rPr>
              <w:t>6</w:t>
            </w:r>
          </w:p>
        </w:tc>
        <w:tc>
          <w:tcPr>
            <w:tcW w:w="850" w:type="dxa"/>
            <w:shd w:val="clear" w:color="auto" w:fill="auto"/>
            <w:noWrap/>
            <w:vAlign w:val="bottom"/>
            <w:hideMark/>
          </w:tcPr>
          <w:p w14:paraId="324A1309" w14:textId="77777777" w:rsidR="005413E4" w:rsidRPr="00004C4B" w:rsidRDefault="005413E4" w:rsidP="005413E4">
            <w:pPr>
              <w:jc w:val="center"/>
              <w:rPr>
                <w:color w:val="000000"/>
                <w:sz w:val="22"/>
                <w:szCs w:val="22"/>
              </w:rPr>
            </w:pPr>
            <w:r w:rsidRPr="00004C4B">
              <w:rPr>
                <w:color w:val="000000"/>
                <w:sz w:val="22"/>
                <w:szCs w:val="22"/>
              </w:rPr>
              <w:t>22.7</w:t>
            </w:r>
          </w:p>
        </w:tc>
        <w:tc>
          <w:tcPr>
            <w:tcW w:w="1134" w:type="dxa"/>
            <w:shd w:val="clear" w:color="auto" w:fill="auto"/>
            <w:noWrap/>
            <w:vAlign w:val="bottom"/>
            <w:hideMark/>
          </w:tcPr>
          <w:p w14:paraId="5EC90401" w14:textId="77777777" w:rsidR="005413E4" w:rsidRPr="00004C4B" w:rsidRDefault="005413E4" w:rsidP="005413E4">
            <w:pPr>
              <w:jc w:val="center"/>
              <w:rPr>
                <w:color w:val="000000"/>
                <w:sz w:val="22"/>
                <w:szCs w:val="22"/>
              </w:rPr>
            </w:pPr>
          </w:p>
        </w:tc>
      </w:tr>
      <w:tr w:rsidR="005413E4" w:rsidRPr="00004C4B" w14:paraId="5E4FE76A" w14:textId="77777777" w:rsidTr="000657A2">
        <w:trPr>
          <w:trHeight w:val="300"/>
          <w:jc w:val="center"/>
        </w:trPr>
        <w:tc>
          <w:tcPr>
            <w:tcW w:w="786" w:type="dxa"/>
            <w:shd w:val="clear" w:color="auto" w:fill="auto"/>
            <w:noWrap/>
            <w:vAlign w:val="bottom"/>
          </w:tcPr>
          <w:p w14:paraId="2DC0B31D" w14:textId="77777777" w:rsidR="005413E4" w:rsidRPr="00004C4B" w:rsidRDefault="005413E4" w:rsidP="005413E4">
            <w:pPr>
              <w:jc w:val="left"/>
              <w:rPr>
                <w:b/>
                <w:color w:val="000000"/>
                <w:sz w:val="22"/>
                <w:szCs w:val="22"/>
              </w:rPr>
            </w:pPr>
            <w:r w:rsidRPr="00004C4B">
              <w:rPr>
                <w:b/>
                <w:color w:val="000000"/>
                <w:sz w:val="22"/>
                <w:szCs w:val="22"/>
              </w:rPr>
              <w:t>Total</w:t>
            </w:r>
          </w:p>
        </w:tc>
        <w:tc>
          <w:tcPr>
            <w:tcW w:w="952" w:type="dxa"/>
            <w:shd w:val="clear" w:color="auto" w:fill="auto"/>
            <w:noWrap/>
            <w:vAlign w:val="bottom"/>
          </w:tcPr>
          <w:p w14:paraId="54A43254" w14:textId="77777777" w:rsidR="005413E4" w:rsidRPr="00004C4B" w:rsidRDefault="005413E4" w:rsidP="005413E4">
            <w:pPr>
              <w:jc w:val="center"/>
              <w:rPr>
                <w:b/>
                <w:color w:val="000000"/>
                <w:sz w:val="22"/>
                <w:szCs w:val="22"/>
              </w:rPr>
            </w:pPr>
            <w:r w:rsidRPr="00004C4B">
              <w:rPr>
                <w:b/>
                <w:color w:val="000000"/>
                <w:sz w:val="22"/>
                <w:szCs w:val="22"/>
              </w:rPr>
              <w:t>146</w:t>
            </w:r>
          </w:p>
        </w:tc>
        <w:tc>
          <w:tcPr>
            <w:tcW w:w="850" w:type="dxa"/>
            <w:shd w:val="clear" w:color="auto" w:fill="auto"/>
            <w:noWrap/>
            <w:vAlign w:val="bottom"/>
          </w:tcPr>
          <w:p w14:paraId="3A2BB5B4" w14:textId="77777777" w:rsidR="005413E4" w:rsidRPr="00004C4B" w:rsidRDefault="005413E4" w:rsidP="005413E4">
            <w:pPr>
              <w:jc w:val="center"/>
              <w:rPr>
                <w:b/>
                <w:color w:val="000000"/>
                <w:sz w:val="22"/>
                <w:szCs w:val="22"/>
              </w:rPr>
            </w:pPr>
            <w:r w:rsidRPr="00004C4B">
              <w:rPr>
                <w:b/>
                <w:color w:val="000000"/>
                <w:sz w:val="22"/>
                <w:szCs w:val="22"/>
              </w:rPr>
              <w:t>192.81</w:t>
            </w:r>
          </w:p>
        </w:tc>
        <w:tc>
          <w:tcPr>
            <w:tcW w:w="1134" w:type="dxa"/>
            <w:shd w:val="clear" w:color="auto" w:fill="auto"/>
            <w:noWrap/>
            <w:vAlign w:val="bottom"/>
          </w:tcPr>
          <w:p w14:paraId="39E69787" w14:textId="77777777" w:rsidR="005413E4" w:rsidRPr="00004C4B" w:rsidRDefault="005413E4" w:rsidP="005413E4">
            <w:pPr>
              <w:jc w:val="center"/>
              <w:rPr>
                <w:b/>
                <w:color w:val="000000"/>
                <w:sz w:val="22"/>
                <w:szCs w:val="22"/>
              </w:rPr>
            </w:pPr>
            <w:r w:rsidRPr="00004C4B">
              <w:rPr>
                <w:b/>
                <w:color w:val="000000"/>
                <w:sz w:val="22"/>
                <w:szCs w:val="22"/>
              </w:rPr>
              <w:t>27,38,569</w:t>
            </w:r>
          </w:p>
        </w:tc>
      </w:tr>
    </w:tbl>
    <w:p w14:paraId="3A6DB163" w14:textId="77777777" w:rsidR="005413E4" w:rsidRPr="003A4ED5" w:rsidRDefault="005413E4" w:rsidP="005413E4">
      <w:pPr>
        <w:jc w:val="center"/>
        <w:rPr>
          <w:i/>
          <w:sz w:val="20"/>
          <w:szCs w:val="20"/>
        </w:rPr>
      </w:pPr>
      <w:r w:rsidRPr="003A4ED5">
        <w:rPr>
          <w:i/>
          <w:sz w:val="20"/>
          <w:szCs w:val="20"/>
        </w:rPr>
        <w:t>Source: delhimetrorail.com, 2015</w:t>
      </w:r>
    </w:p>
    <w:p w14:paraId="1D3B01AD" w14:textId="77777777" w:rsidR="005413E4" w:rsidRPr="006B279C" w:rsidRDefault="005413E4" w:rsidP="005413E4">
      <w:pPr>
        <w:ind w:firstLine="720"/>
      </w:pPr>
    </w:p>
    <w:p w14:paraId="7BBC1419" w14:textId="22A5864B" w:rsidR="005413E4" w:rsidRPr="006B279C" w:rsidRDefault="00463C68" w:rsidP="005413E4">
      <w:pPr>
        <w:ind w:firstLine="720"/>
      </w:pPr>
      <w:r>
        <w:t>As indicated in Fig.3</w:t>
      </w:r>
      <w:r w:rsidR="00A14E7A" w:rsidRPr="006B279C">
        <w:t>.1, the average daily ridership of metro has risen from 1.24 lakhs in 2004-05 to 21.9 lakhs in 2013-14. Yet, the metro ridership achieved for the year 2011 fell deficit by 1.5 lakh of that estimated for this year. So, while the city clearly identifies transit improvement for its long-term goal of sustainability, it is still grappling with ways to increase its transit ridership.</w:t>
      </w:r>
    </w:p>
    <w:p w14:paraId="795C0382" w14:textId="77777777" w:rsidR="005413E4" w:rsidRPr="00004C4B" w:rsidRDefault="005413E4" w:rsidP="005413E4">
      <w:pPr>
        <w:rPr>
          <w:sz w:val="22"/>
          <w:szCs w:val="22"/>
        </w:rPr>
      </w:pPr>
    </w:p>
    <w:p w14:paraId="59FF78F4" w14:textId="77777777" w:rsidR="005413E4" w:rsidRPr="00004C4B" w:rsidRDefault="005413E4" w:rsidP="005413E4">
      <w:pPr>
        <w:jc w:val="center"/>
        <w:rPr>
          <w:sz w:val="22"/>
          <w:szCs w:val="22"/>
        </w:rPr>
      </w:pPr>
      <w:r>
        <w:rPr>
          <w:noProof/>
          <w:sz w:val="22"/>
          <w:szCs w:val="22"/>
          <w:lang w:val="en-US"/>
        </w:rPr>
        <w:drawing>
          <wp:inline distT="0" distB="0" distL="0" distR="0" wp14:anchorId="2826ECB3" wp14:editId="7853633E">
            <wp:extent cx="2980944" cy="19019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7">
                      <a:extLst>
                        <a:ext uri="{28A0092B-C50C-407E-A947-70E740481C1C}">
                          <a14:useLocalDpi xmlns:a14="http://schemas.microsoft.com/office/drawing/2010/main" val="0"/>
                        </a:ext>
                      </a:extLst>
                    </a:blip>
                    <a:stretch>
                      <a:fillRect/>
                    </a:stretch>
                  </pic:blipFill>
                  <pic:spPr>
                    <a:xfrm>
                      <a:off x="0" y="0"/>
                      <a:ext cx="2980944" cy="1901952"/>
                    </a:xfrm>
                    <a:prstGeom prst="rect">
                      <a:avLst/>
                    </a:prstGeom>
                  </pic:spPr>
                </pic:pic>
              </a:graphicData>
            </a:graphic>
          </wp:inline>
        </w:drawing>
      </w:r>
    </w:p>
    <w:p w14:paraId="38D003AE" w14:textId="77777777" w:rsidR="005413E4" w:rsidRPr="003A4ED5" w:rsidRDefault="005413E4" w:rsidP="005413E4">
      <w:pPr>
        <w:jc w:val="center"/>
        <w:rPr>
          <w:i/>
          <w:sz w:val="20"/>
          <w:szCs w:val="20"/>
        </w:rPr>
      </w:pPr>
      <w:r w:rsidRPr="003A4ED5">
        <w:rPr>
          <w:rStyle w:val="apple-converted-space"/>
          <w:i/>
          <w:color w:val="252525"/>
          <w:sz w:val="20"/>
          <w:szCs w:val="20"/>
        </w:rPr>
        <w:t xml:space="preserve">Source: </w:t>
      </w:r>
      <w:r w:rsidRPr="003A4ED5">
        <w:rPr>
          <w:i/>
          <w:sz w:val="20"/>
          <w:szCs w:val="20"/>
        </w:rPr>
        <w:t>DMRC, Annual Report, 2014</w:t>
      </w:r>
    </w:p>
    <w:p w14:paraId="1F29F84A" w14:textId="6444BB05" w:rsidR="005413E4" w:rsidRPr="003A4ED5" w:rsidRDefault="00463C68" w:rsidP="005413E4">
      <w:pPr>
        <w:jc w:val="center"/>
        <w:rPr>
          <w:b/>
          <w:color w:val="252525"/>
          <w:sz w:val="22"/>
          <w:szCs w:val="22"/>
        </w:rPr>
      </w:pPr>
      <w:r>
        <w:rPr>
          <w:rStyle w:val="apple-converted-space"/>
          <w:b/>
          <w:color w:val="252525"/>
          <w:sz w:val="22"/>
          <w:szCs w:val="22"/>
        </w:rPr>
        <w:t>Fig.3</w:t>
      </w:r>
      <w:r w:rsidR="006B279C">
        <w:rPr>
          <w:rStyle w:val="apple-converted-space"/>
          <w:b/>
          <w:color w:val="252525"/>
          <w:sz w:val="22"/>
          <w:szCs w:val="22"/>
        </w:rPr>
        <w:t xml:space="preserve">.1 </w:t>
      </w:r>
      <w:r w:rsidR="005413E4" w:rsidRPr="00B02C7A">
        <w:rPr>
          <w:rStyle w:val="apple-converted-space"/>
          <w:b/>
          <w:color w:val="252525"/>
          <w:sz w:val="22"/>
          <w:szCs w:val="22"/>
        </w:rPr>
        <w:t>Average Daily Ridership in Delhi Metro (2004-05 to 2013-14)</w:t>
      </w:r>
    </w:p>
    <w:p w14:paraId="3218F273" w14:textId="4485136E" w:rsidR="00CD7719" w:rsidRPr="006B279C" w:rsidRDefault="00CD7719" w:rsidP="00A14E7A"/>
    <w:p w14:paraId="42A72115" w14:textId="632D9121" w:rsidR="00463EBD" w:rsidRDefault="00CD7719" w:rsidP="00AB71EF">
      <w:pPr>
        <w:widowControl w:val="0"/>
        <w:ind w:firstLine="720"/>
        <w:jc w:val="left"/>
      </w:pPr>
      <w:r w:rsidRPr="006B279C">
        <w:t xml:space="preserve">The Metro in Delhi is further expanding and is projected to have a much larger trip share than its existing patronage. The transport demand forecast and development of public transport network study prepared by RITES in 2010 recommends the total Metro length within Delhi to be 330 km by 2021 with an estimated modal share of 20.1%. Achieving this modal share from the present miniscule 4% would be overambitious and far-fetched, unless the city takes proactive measures to make the metro attractive enough to </w:t>
      </w:r>
      <w:r w:rsidR="00175FA4">
        <w:t>shift</w:t>
      </w:r>
      <w:r w:rsidRPr="006B279C">
        <w:t xml:space="preserve"> private mode users towards mass transit patronage. Given the fact that the transit system in itself is built with the state-of-art technology, mere expansion of network, services and overcoming technical glitches at the transit level may not be sufficient; the answer has to be probed elsewhere, in a larger perspective.</w:t>
      </w:r>
    </w:p>
    <w:p w14:paraId="1B167E4C" w14:textId="77777777" w:rsidR="0066718B" w:rsidRDefault="0066718B" w:rsidP="0066718B">
      <w:pPr>
        <w:widowControl w:val="0"/>
        <w:jc w:val="left"/>
      </w:pPr>
    </w:p>
    <w:p w14:paraId="48F7E1E1" w14:textId="11AEDA27" w:rsidR="0066718B" w:rsidRDefault="0066718B" w:rsidP="0066718B">
      <w:pPr>
        <w:widowControl w:val="0"/>
        <w:jc w:val="left"/>
        <w:rPr>
          <w:b/>
        </w:rPr>
      </w:pPr>
      <w:r>
        <w:rPr>
          <w:b/>
        </w:rPr>
        <w:t>3.1 Last Mile Connectivity Options for Delhi Metro</w:t>
      </w:r>
    </w:p>
    <w:p w14:paraId="68A15E63" w14:textId="77777777" w:rsidR="0066718B" w:rsidRPr="0066718B" w:rsidRDefault="0066718B" w:rsidP="0066718B">
      <w:pPr>
        <w:widowControl w:val="0"/>
        <w:jc w:val="left"/>
        <w:rPr>
          <w:b/>
        </w:rPr>
      </w:pPr>
    </w:p>
    <w:p w14:paraId="15C1C3B9" w14:textId="6D381CBB" w:rsidR="0066718B" w:rsidRPr="006B279C" w:rsidRDefault="0066718B" w:rsidP="00AB71EF">
      <w:pPr>
        <w:widowControl w:val="0"/>
        <w:ind w:firstLine="720"/>
        <w:jc w:val="left"/>
      </w:pPr>
      <w:r w:rsidRPr="0066718B">
        <w:t>Out of the total metro stations only 23 stations have feeder shuttle services.</w:t>
      </w:r>
      <w:r>
        <w:t xml:space="preserve"> </w:t>
      </w:r>
      <w:r>
        <w:rPr>
          <w:lang w:val="en-US"/>
        </w:rPr>
        <w:t xml:space="preserve">Apart from feeder bus services, there exist a variety of </w:t>
      </w:r>
      <w:proofErr w:type="spellStart"/>
      <w:r>
        <w:rPr>
          <w:lang w:val="en-US"/>
        </w:rPr>
        <w:t>para</w:t>
      </w:r>
      <w:proofErr w:type="spellEnd"/>
      <w:r>
        <w:rPr>
          <w:lang w:val="en-US"/>
        </w:rPr>
        <w:t xml:space="preserve">-transit modes (viz., 3-wheeler auto-rickshaws, a variety of shared auto-rickshaws, battery operated e-rickshaws and cycle-rickshaws), which can be efficiently utilized for providing last mile connectivity. While all of these modes are currently providing LMC, these are totally demand-driven and </w:t>
      </w:r>
      <w:r w:rsidR="00463C68">
        <w:rPr>
          <w:lang w:val="en-US"/>
        </w:rPr>
        <w:t xml:space="preserve">unorganized and </w:t>
      </w:r>
      <w:r>
        <w:rPr>
          <w:lang w:val="en-US"/>
        </w:rPr>
        <w:t>there are no planned efforts to integrate them with the transit system. Regulations even prohibit certain modes such as cycle-rickshaws and e-rickshaws (which are zero carbon and higher</w:t>
      </w:r>
      <w:r w:rsidR="00463C68">
        <w:rPr>
          <w:lang w:val="en-US"/>
        </w:rPr>
        <w:t xml:space="preserve"> </w:t>
      </w:r>
      <w:r>
        <w:rPr>
          <w:lang w:val="en-US"/>
        </w:rPr>
        <w:t xml:space="preserve">accessibility) from operating in certain parts of the city. Since they are not included in the station area planning, there are no designated parking spaces for them, as a result of which they create nuisance and chaos around metro stations, and operate under unsafe conditions. There are also issues related to the regularization of these modes. Bike hire facilities </w:t>
      </w:r>
      <w:r w:rsidR="00A24D76">
        <w:rPr>
          <w:lang w:val="en-US"/>
        </w:rPr>
        <w:t>have been made</w:t>
      </w:r>
      <w:r>
        <w:rPr>
          <w:lang w:val="en-US"/>
        </w:rPr>
        <w:t xml:space="preserve"> available at merely 4-5 locations without carrying out a station-wide study of the cycling conditions and infrastructure in the vicinity of the station, their potential and feasibility. </w:t>
      </w:r>
    </w:p>
    <w:p w14:paraId="20ACFB6C" w14:textId="77777777" w:rsidR="00463EBD" w:rsidRPr="006B279C" w:rsidRDefault="00463EBD" w:rsidP="00CD7719">
      <w:pPr>
        <w:widowControl w:val="0"/>
        <w:jc w:val="left"/>
      </w:pPr>
    </w:p>
    <w:p w14:paraId="37AFF11B" w14:textId="3C2EB46D" w:rsidR="00463EBD" w:rsidRPr="0066718B" w:rsidRDefault="00A24D76" w:rsidP="00A24D76">
      <w:pPr>
        <w:jc w:val="left"/>
        <w:rPr>
          <w:b/>
        </w:rPr>
      </w:pPr>
      <w:r>
        <w:rPr>
          <w:b/>
        </w:rPr>
        <w:t xml:space="preserve">4.0 CASE </w:t>
      </w:r>
      <w:r w:rsidRPr="0066718B">
        <w:rPr>
          <w:b/>
        </w:rPr>
        <w:t>STUDY STATIONS AND THEIR SURROUNDING AREA CHARACTERISTICS</w:t>
      </w:r>
    </w:p>
    <w:p w14:paraId="73C15FC3" w14:textId="77777777" w:rsidR="00463EBD" w:rsidRPr="006B279C" w:rsidRDefault="00463EBD" w:rsidP="00463EBD">
      <w:pPr>
        <w:rPr>
          <w:highlight w:val="yellow"/>
        </w:rPr>
      </w:pPr>
    </w:p>
    <w:p w14:paraId="5C83BC91" w14:textId="22C09BF8" w:rsidR="00463EBD" w:rsidRPr="006B279C" w:rsidRDefault="00A3482D" w:rsidP="00703B6B">
      <w:pPr>
        <w:tabs>
          <w:tab w:val="left" w:pos="3119"/>
        </w:tabs>
      </w:pPr>
      <w:r>
        <w:t xml:space="preserve">The paper </w:t>
      </w:r>
      <w:r w:rsidR="00536018">
        <w:t>presents</w:t>
      </w:r>
      <w:r>
        <w:t xml:space="preserve"> the findings of a study conducted at six metro stations of Delhi. </w:t>
      </w:r>
      <w:r w:rsidR="000176E5" w:rsidRPr="000176E5">
        <w:rPr>
          <w:lang w:val="en-US"/>
        </w:rPr>
        <w:t>The selected stations are located on different lines of the metro network and parameters such as station typology (interchange, mid-block and terminal), ridership, density</w:t>
      </w:r>
      <w:r w:rsidR="00536018">
        <w:rPr>
          <w:lang w:val="en-US"/>
        </w:rPr>
        <w:t>,</w:t>
      </w:r>
      <w:r w:rsidR="000176E5" w:rsidRPr="000176E5">
        <w:rPr>
          <w:lang w:val="en-US"/>
        </w:rPr>
        <w:t xml:space="preserve"> type of </w:t>
      </w:r>
      <w:proofErr w:type="spellStart"/>
      <w:r w:rsidR="000176E5" w:rsidRPr="000176E5">
        <w:rPr>
          <w:lang w:val="en-US"/>
        </w:rPr>
        <w:t>landuse</w:t>
      </w:r>
      <w:proofErr w:type="spellEnd"/>
      <w:r w:rsidR="000176E5" w:rsidRPr="000176E5">
        <w:rPr>
          <w:lang w:val="en-US"/>
        </w:rPr>
        <w:t xml:space="preserve"> in the surrounding vicinity were considered for selecting the stations. </w:t>
      </w:r>
      <w:r w:rsidR="00536018">
        <w:rPr>
          <w:lang w:val="en-US"/>
        </w:rPr>
        <w:t xml:space="preserve">The paper does not attempt to establish the relationship of transit ridership with last mile connectivity, as it would require a higher sample size of stations having similar characteristics and varying LMC environment. However, it tries to </w:t>
      </w:r>
      <w:proofErr w:type="spellStart"/>
      <w:r w:rsidR="00536018">
        <w:rPr>
          <w:lang w:val="en-US"/>
        </w:rPr>
        <w:t>analyse</w:t>
      </w:r>
      <w:proofErr w:type="spellEnd"/>
      <w:r w:rsidR="00536018">
        <w:rPr>
          <w:lang w:val="en-US"/>
        </w:rPr>
        <w:t xml:space="preserve"> user behavior with varying station and LMC characteristics</w:t>
      </w:r>
      <w:r w:rsidR="009E72E8">
        <w:rPr>
          <w:lang w:val="en-US"/>
        </w:rPr>
        <w:t xml:space="preserve"> and also assesses tries to assess the sustainability of the last mile environment</w:t>
      </w:r>
      <w:r w:rsidR="00536018">
        <w:rPr>
          <w:lang w:val="en-US"/>
        </w:rPr>
        <w:t xml:space="preserve">. </w:t>
      </w:r>
      <w:r w:rsidR="000176E5" w:rsidRPr="000176E5">
        <w:rPr>
          <w:lang w:val="en-US"/>
        </w:rPr>
        <w:t xml:space="preserve">A sample of 30 commuters was taken at each station and surveys were limited to capture commuters alighting the metro station. </w:t>
      </w:r>
      <w:r w:rsidR="00463EBD" w:rsidRPr="006B279C">
        <w:t>Tabl</w:t>
      </w:r>
      <w:r w:rsidR="00E20EDF">
        <w:t>e 4</w:t>
      </w:r>
      <w:r w:rsidR="00463EBD" w:rsidRPr="006B279C">
        <w:t xml:space="preserve">.1 indicates the station characteristics in terms of ridership and typology and its surrounding area key characteristics in terms of density, </w:t>
      </w:r>
      <w:proofErr w:type="spellStart"/>
      <w:r w:rsidR="00463EBD" w:rsidRPr="006B279C">
        <w:t>landuses</w:t>
      </w:r>
      <w:proofErr w:type="spellEnd"/>
      <w:r w:rsidR="00463EBD" w:rsidRPr="006B279C">
        <w:t xml:space="preserve"> and availability of modes for LMC. </w:t>
      </w:r>
    </w:p>
    <w:p w14:paraId="44E5E2EA" w14:textId="77777777" w:rsidR="00463EBD" w:rsidRPr="006B279C" w:rsidRDefault="00463EBD" w:rsidP="00463EBD">
      <w:pPr>
        <w:ind w:left="284"/>
      </w:pPr>
    </w:p>
    <w:p w14:paraId="423EF57D" w14:textId="03F02C21" w:rsidR="00463EBD" w:rsidRPr="00967235" w:rsidRDefault="00E20EDF" w:rsidP="00463EBD">
      <w:pPr>
        <w:jc w:val="center"/>
        <w:rPr>
          <w:b/>
          <w:sz w:val="22"/>
          <w:szCs w:val="22"/>
        </w:rPr>
      </w:pPr>
      <w:r>
        <w:rPr>
          <w:b/>
          <w:sz w:val="22"/>
          <w:szCs w:val="22"/>
        </w:rPr>
        <w:t>Table 4</w:t>
      </w:r>
      <w:r w:rsidR="00463EBD" w:rsidRPr="00967235">
        <w:rPr>
          <w:b/>
          <w:sz w:val="22"/>
          <w:szCs w:val="22"/>
        </w:rPr>
        <w:t>.1 Station Area Characteristics</w:t>
      </w:r>
    </w:p>
    <w:tbl>
      <w:tblPr>
        <w:tblW w:w="8831" w:type="dxa"/>
        <w:jc w:val="center"/>
        <w:tblInd w:w="93" w:type="dxa"/>
        <w:tblLayout w:type="fixed"/>
        <w:tblCellMar>
          <w:left w:w="28" w:type="dxa"/>
          <w:right w:w="0" w:type="dxa"/>
        </w:tblCellMar>
        <w:tblLook w:val="04A0" w:firstRow="1" w:lastRow="0" w:firstColumn="1" w:lastColumn="0" w:noHBand="0" w:noVBand="1"/>
      </w:tblPr>
      <w:tblGrid>
        <w:gridCol w:w="1516"/>
        <w:gridCol w:w="971"/>
        <w:gridCol w:w="1100"/>
        <w:gridCol w:w="2109"/>
        <w:gridCol w:w="902"/>
        <w:gridCol w:w="2233"/>
      </w:tblGrid>
      <w:tr w:rsidR="00463EBD" w:rsidRPr="003A4ED5" w14:paraId="70E4BCBC" w14:textId="77777777" w:rsidTr="000A0A06">
        <w:trPr>
          <w:trHeight w:val="300"/>
          <w:jc w:val="center"/>
        </w:trPr>
        <w:tc>
          <w:tcPr>
            <w:tcW w:w="1516" w:type="dxa"/>
            <w:vMerge w:val="restart"/>
            <w:tcBorders>
              <w:top w:val="single" w:sz="4" w:space="0" w:color="auto"/>
              <w:left w:val="single" w:sz="4" w:space="0" w:color="auto"/>
              <w:right w:val="single" w:sz="4" w:space="0" w:color="auto"/>
            </w:tcBorders>
            <w:shd w:val="clear" w:color="auto" w:fill="auto"/>
            <w:noWrap/>
            <w:hideMark/>
          </w:tcPr>
          <w:p w14:paraId="045C8505" w14:textId="77777777" w:rsidR="00463EBD" w:rsidRPr="003A4ED5" w:rsidRDefault="00463EBD" w:rsidP="000A0A06">
            <w:pPr>
              <w:jc w:val="left"/>
              <w:rPr>
                <w:b/>
                <w:color w:val="000000"/>
                <w:sz w:val="20"/>
                <w:szCs w:val="20"/>
              </w:rPr>
            </w:pPr>
            <w:r w:rsidRPr="003A4ED5">
              <w:rPr>
                <w:b/>
                <w:color w:val="000000"/>
                <w:sz w:val="20"/>
                <w:szCs w:val="20"/>
              </w:rPr>
              <w:t>Station Name</w:t>
            </w:r>
          </w:p>
          <w:p w14:paraId="6C67C4AA" w14:textId="77777777" w:rsidR="00463EBD" w:rsidRPr="003A4ED5" w:rsidRDefault="00463EBD" w:rsidP="000A0A06">
            <w:pPr>
              <w:jc w:val="left"/>
              <w:rPr>
                <w:b/>
                <w:color w:val="000000"/>
                <w:sz w:val="20"/>
                <w:szCs w:val="20"/>
              </w:rPr>
            </w:pPr>
            <w:r w:rsidRPr="003A4ED5">
              <w:rPr>
                <w:color w:val="000000"/>
                <w:sz w:val="20"/>
                <w:szCs w:val="20"/>
              </w:rPr>
              <w:t> </w:t>
            </w:r>
          </w:p>
        </w:tc>
        <w:tc>
          <w:tcPr>
            <w:tcW w:w="971" w:type="dxa"/>
            <w:vMerge w:val="restart"/>
            <w:tcBorders>
              <w:top w:val="single" w:sz="4" w:space="0" w:color="auto"/>
              <w:left w:val="nil"/>
              <w:right w:val="single" w:sz="4" w:space="0" w:color="auto"/>
            </w:tcBorders>
            <w:shd w:val="clear" w:color="auto" w:fill="auto"/>
            <w:noWrap/>
            <w:hideMark/>
          </w:tcPr>
          <w:p w14:paraId="288EBEE0" w14:textId="073D6B60" w:rsidR="000A0A06" w:rsidRDefault="000A0A06" w:rsidP="000A0A06">
            <w:pPr>
              <w:jc w:val="left"/>
              <w:rPr>
                <w:b/>
                <w:color w:val="000000"/>
                <w:sz w:val="20"/>
                <w:szCs w:val="20"/>
              </w:rPr>
            </w:pPr>
            <w:r>
              <w:rPr>
                <w:b/>
                <w:color w:val="000000"/>
                <w:sz w:val="20"/>
                <w:szCs w:val="20"/>
              </w:rPr>
              <w:t>Daily</w:t>
            </w:r>
          </w:p>
          <w:p w14:paraId="63F0A245" w14:textId="77777777" w:rsidR="00463EBD" w:rsidRPr="003A4ED5" w:rsidRDefault="00463EBD" w:rsidP="000A0A06">
            <w:pPr>
              <w:jc w:val="left"/>
              <w:rPr>
                <w:b/>
                <w:color w:val="000000"/>
                <w:sz w:val="20"/>
                <w:szCs w:val="20"/>
              </w:rPr>
            </w:pPr>
            <w:r w:rsidRPr="003A4ED5">
              <w:rPr>
                <w:b/>
                <w:color w:val="000000"/>
                <w:sz w:val="20"/>
                <w:szCs w:val="20"/>
              </w:rPr>
              <w:t>Ridership</w:t>
            </w:r>
          </w:p>
          <w:p w14:paraId="218E1C4A" w14:textId="77777777" w:rsidR="00463EBD" w:rsidRPr="003A4ED5" w:rsidRDefault="00463EBD" w:rsidP="000A0A06">
            <w:pPr>
              <w:jc w:val="left"/>
              <w:rPr>
                <w:b/>
                <w:color w:val="000000"/>
                <w:sz w:val="20"/>
                <w:szCs w:val="20"/>
              </w:rPr>
            </w:pPr>
            <w:r w:rsidRPr="003A4ED5">
              <w:rPr>
                <w:color w:val="000000"/>
                <w:sz w:val="20"/>
                <w:szCs w:val="20"/>
              </w:rPr>
              <w:t> </w:t>
            </w:r>
          </w:p>
        </w:tc>
        <w:tc>
          <w:tcPr>
            <w:tcW w:w="1100" w:type="dxa"/>
            <w:vMerge w:val="restart"/>
            <w:tcBorders>
              <w:top w:val="single" w:sz="4" w:space="0" w:color="auto"/>
              <w:left w:val="nil"/>
              <w:right w:val="single" w:sz="4" w:space="0" w:color="auto"/>
            </w:tcBorders>
            <w:shd w:val="clear" w:color="auto" w:fill="auto"/>
            <w:noWrap/>
            <w:hideMark/>
          </w:tcPr>
          <w:p w14:paraId="63E019F3" w14:textId="77777777" w:rsidR="00463EBD" w:rsidRPr="003A4ED5" w:rsidRDefault="00463EBD" w:rsidP="000A0A06">
            <w:pPr>
              <w:jc w:val="left"/>
              <w:rPr>
                <w:b/>
                <w:color w:val="000000"/>
                <w:sz w:val="20"/>
                <w:szCs w:val="20"/>
              </w:rPr>
            </w:pPr>
            <w:r w:rsidRPr="003A4ED5">
              <w:rPr>
                <w:b/>
                <w:color w:val="000000"/>
                <w:sz w:val="20"/>
                <w:szCs w:val="20"/>
              </w:rPr>
              <w:t>Typology</w:t>
            </w:r>
          </w:p>
          <w:p w14:paraId="27505BAA" w14:textId="77777777" w:rsidR="00463EBD" w:rsidRPr="003A4ED5" w:rsidRDefault="00463EBD" w:rsidP="000A0A06">
            <w:pPr>
              <w:jc w:val="left"/>
              <w:rPr>
                <w:b/>
                <w:color w:val="000000"/>
                <w:sz w:val="20"/>
                <w:szCs w:val="20"/>
              </w:rPr>
            </w:pPr>
            <w:r w:rsidRPr="003A4ED5">
              <w:rPr>
                <w:color w:val="000000"/>
                <w:sz w:val="20"/>
                <w:szCs w:val="20"/>
              </w:rPr>
              <w:t> </w:t>
            </w:r>
          </w:p>
        </w:tc>
        <w:tc>
          <w:tcPr>
            <w:tcW w:w="3011" w:type="dxa"/>
            <w:gridSpan w:val="2"/>
            <w:tcBorders>
              <w:top w:val="single" w:sz="4" w:space="0" w:color="auto"/>
              <w:left w:val="nil"/>
              <w:bottom w:val="single" w:sz="4" w:space="0" w:color="auto"/>
              <w:right w:val="single" w:sz="4" w:space="0" w:color="auto"/>
            </w:tcBorders>
            <w:shd w:val="clear" w:color="auto" w:fill="auto"/>
            <w:noWrap/>
            <w:hideMark/>
          </w:tcPr>
          <w:p w14:paraId="50D9612C" w14:textId="77777777" w:rsidR="00463EBD" w:rsidRPr="003A4ED5" w:rsidRDefault="00463EBD" w:rsidP="000A0A06">
            <w:pPr>
              <w:jc w:val="left"/>
              <w:rPr>
                <w:b/>
                <w:color w:val="000000"/>
                <w:sz w:val="20"/>
                <w:szCs w:val="20"/>
              </w:rPr>
            </w:pPr>
            <w:r w:rsidRPr="003A4ED5">
              <w:rPr>
                <w:b/>
                <w:color w:val="000000"/>
                <w:sz w:val="20"/>
                <w:szCs w:val="20"/>
              </w:rPr>
              <w:t>Adjacent area characteristics</w:t>
            </w:r>
          </w:p>
        </w:tc>
        <w:tc>
          <w:tcPr>
            <w:tcW w:w="2233" w:type="dxa"/>
            <w:vMerge w:val="restart"/>
            <w:tcBorders>
              <w:top w:val="single" w:sz="4" w:space="0" w:color="auto"/>
              <w:left w:val="nil"/>
              <w:right w:val="single" w:sz="4" w:space="0" w:color="auto"/>
            </w:tcBorders>
            <w:shd w:val="clear" w:color="auto" w:fill="auto"/>
            <w:noWrap/>
            <w:hideMark/>
          </w:tcPr>
          <w:p w14:paraId="3E71BBB6" w14:textId="77777777" w:rsidR="00463EBD" w:rsidRPr="003A4ED5" w:rsidRDefault="00463EBD" w:rsidP="000A0A06">
            <w:pPr>
              <w:jc w:val="left"/>
              <w:rPr>
                <w:b/>
                <w:color w:val="000000"/>
                <w:sz w:val="20"/>
                <w:szCs w:val="20"/>
              </w:rPr>
            </w:pPr>
            <w:r w:rsidRPr="003A4ED5">
              <w:rPr>
                <w:b/>
                <w:color w:val="000000"/>
                <w:sz w:val="20"/>
                <w:szCs w:val="20"/>
              </w:rPr>
              <w:t xml:space="preserve">Last mile </w:t>
            </w:r>
          </w:p>
          <w:p w14:paraId="2C3B1015" w14:textId="77777777" w:rsidR="00463EBD" w:rsidRPr="003A4ED5" w:rsidRDefault="00463EBD" w:rsidP="000A0A06">
            <w:pPr>
              <w:jc w:val="left"/>
              <w:rPr>
                <w:b/>
                <w:color w:val="000000"/>
                <w:sz w:val="20"/>
                <w:szCs w:val="20"/>
              </w:rPr>
            </w:pPr>
            <w:proofErr w:type="gramStart"/>
            <w:r w:rsidRPr="003A4ED5">
              <w:rPr>
                <w:b/>
                <w:color w:val="000000"/>
                <w:sz w:val="20"/>
                <w:szCs w:val="20"/>
              </w:rPr>
              <w:t>modes</w:t>
            </w:r>
            <w:proofErr w:type="gramEnd"/>
            <w:r w:rsidRPr="003A4ED5">
              <w:rPr>
                <w:b/>
                <w:color w:val="000000"/>
                <w:sz w:val="20"/>
                <w:szCs w:val="20"/>
              </w:rPr>
              <w:t xml:space="preserve"> available</w:t>
            </w:r>
          </w:p>
        </w:tc>
      </w:tr>
      <w:tr w:rsidR="00463EBD" w:rsidRPr="003A4ED5" w14:paraId="5AFE156F" w14:textId="77777777" w:rsidTr="000A0A06">
        <w:trPr>
          <w:trHeight w:val="300"/>
          <w:jc w:val="center"/>
        </w:trPr>
        <w:tc>
          <w:tcPr>
            <w:tcW w:w="1516" w:type="dxa"/>
            <w:vMerge/>
            <w:tcBorders>
              <w:left w:val="single" w:sz="4" w:space="0" w:color="auto"/>
              <w:bottom w:val="single" w:sz="4" w:space="0" w:color="auto"/>
              <w:right w:val="single" w:sz="4" w:space="0" w:color="auto"/>
            </w:tcBorders>
            <w:shd w:val="clear" w:color="auto" w:fill="auto"/>
            <w:noWrap/>
            <w:vAlign w:val="bottom"/>
            <w:hideMark/>
          </w:tcPr>
          <w:p w14:paraId="1229609A" w14:textId="77777777" w:rsidR="00463EBD" w:rsidRPr="003A4ED5" w:rsidRDefault="00463EBD" w:rsidP="000A0A06">
            <w:pPr>
              <w:jc w:val="left"/>
              <w:rPr>
                <w:color w:val="000000"/>
                <w:sz w:val="20"/>
                <w:szCs w:val="20"/>
              </w:rPr>
            </w:pPr>
          </w:p>
        </w:tc>
        <w:tc>
          <w:tcPr>
            <w:tcW w:w="971" w:type="dxa"/>
            <w:vMerge/>
            <w:tcBorders>
              <w:left w:val="nil"/>
              <w:bottom w:val="single" w:sz="4" w:space="0" w:color="auto"/>
              <w:right w:val="single" w:sz="4" w:space="0" w:color="auto"/>
            </w:tcBorders>
            <w:shd w:val="clear" w:color="auto" w:fill="auto"/>
            <w:noWrap/>
            <w:vAlign w:val="bottom"/>
            <w:hideMark/>
          </w:tcPr>
          <w:p w14:paraId="586BA16D" w14:textId="77777777" w:rsidR="00463EBD" w:rsidRPr="003A4ED5" w:rsidRDefault="00463EBD" w:rsidP="000A0A06">
            <w:pPr>
              <w:jc w:val="left"/>
              <w:rPr>
                <w:color w:val="000000"/>
                <w:sz w:val="20"/>
                <w:szCs w:val="20"/>
              </w:rPr>
            </w:pPr>
          </w:p>
        </w:tc>
        <w:tc>
          <w:tcPr>
            <w:tcW w:w="1100" w:type="dxa"/>
            <w:vMerge/>
            <w:tcBorders>
              <w:left w:val="nil"/>
              <w:bottom w:val="single" w:sz="4" w:space="0" w:color="auto"/>
              <w:right w:val="single" w:sz="4" w:space="0" w:color="auto"/>
            </w:tcBorders>
            <w:shd w:val="clear" w:color="auto" w:fill="auto"/>
            <w:noWrap/>
            <w:vAlign w:val="bottom"/>
            <w:hideMark/>
          </w:tcPr>
          <w:p w14:paraId="341CB641" w14:textId="77777777" w:rsidR="00463EBD" w:rsidRPr="003A4ED5" w:rsidRDefault="00463EBD" w:rsidP="000A0A06">
            <w:pPr>
              <w:jc w:val="left"/>
              <w:rPr>
                <w:color w:val="000000"/>
                <w:sz w:val="20"/>
                <w:szCs w:val="20"/>
              </w:rPr>
            </w:pPr>
          </w:p>
        </w:tc>
        <w:tc>
          <w:tcPr>
            <w:tcW w:w="2109" w:type="dxa"/>
            <w:tcBorders>
              <w:top w:val="nil"/>
              <w:left w:val="nil"/>
              <w:bottom w:val="single" w:sz="4" w:space="0" w:color="auto"/>
              <w:right w:val="single" w:sz="4" w:space="0" w:color="auto"/>
            </w:tcBorders>
            <w:shd w:val="clear" w:color="auto" w:fill="auto"/>
            <w:noWrap/>
            <w:hideMark/>
          </w:tcPr>
          <w:p w14:paraId="4C88A56B" w14:textId="77777777" w:rsidR="00463EBD" w:rsidRPr="003A4ED5" w:rsidRDefault="00463EBD" w:rsidP="000A0A06">
            <w:pPr>
              <w:jc w:val="left"/>
              <w:rPr>
                <w:b/>
                <w:color w:val="000000"/>
                <w:sz w:val="20"/>
                <w:szCs w:val="20"/>
              </w:rPr>
            </w:pPr>
            <w:proofErr w:type="spellStart"/>
            <w:proofErr w:type="gramStart"/>
            <w:r w:rsidRPr="003A4ED5">
              <w:rPr>
                <w:b/>
                <w:color w:val="000000"/>
                <w:sz w:val="20"/>
                <w:szCs w:val="20"/>
              </w:rPr>
              <w:t>landuse</w:t>
            </w:r>
            <w:proofErr w:type="spellEnd"/>
            <w:proofErr w:type="gramEnd"/>
          </w:p>
        </w:tc>
        <w:tc>
          <w:tcPr>
            <w:tcW w:w="902" w:type="dxa"/>
            <w:tcBorders>
              <w:top w:val="nil"/>
              <w:left w:val="nil"/>
              <w:bottom w:val="single" w:sz="4" w:space="0" w:color="auto"/>
              <w:right w:val="single" w:sz="4" w:space="0" w:color="auto"/>
            </w:tcBorders>
            <w:shd w:val="clear" w:color="auto" w:fill="auto"/>
            <w:noWrap/>
            <w:vAlign w:val="bottom"/>
            <w:hideMark/>
          </w:tcPr>
          <w:p w14:paraId="313ED07D" w14:textId="77777777" w:rsidR="00463EBD" w:rsidRPr="003A4ED5" w:rsidRDefault="00463EBD" w:rsidP="000A0A06">
            <w:pPr>
              <w:jc w:val="left"/>
              <w:rPr>
                <w:b/>
                <w:color w:val="000000"/>
                <w:sz w:val="20"/>
                <w:szCs w:val="20"/>
              </w:rPr>
            </w:pPr>
            <w:proofErr w:type="gramStart"/>
            <w:r w:rsidRPr="003A4ED5">
              <w:rPr>
                <w:b/>
                <w:color w:val="000000"/>
                <w:sz w:val="20"/>
                <w:szCs w:val="20"/>
              </w:rPr>
              <w:t>density</w:t>
            </w:r>
            <w:proofErr w:type="gramEnd"/>
            <w:r w:rsidRPr="003A4ED5">
              <w:rPr>
                <w:b/>
                <w:color w:val="000000"/>
                <w:sz w:val="20"/>
                <w:szCs w:val="20"/>
              </w:rPr>
              <w:t xml:space="preserve"> </w:t>
            </w:r>
          </w:p>
          <w:p w14:paraId="51D12459" w14:textId="77777777" w:rsidR="00463EBD" w:rsidRPr="003A4ED5" w:rsidRDefault="00463EBD" w:rsidP="000A0A06">
            <w:pPr>
              <w:jc w:val="left"/>
              <w:rPr>
                <w:b/>
                <w:color w:val="000000"/>
                <w:sz w:val="20"/>
                <w:szCs w:val="20"/>
              </w:rPr>
            </w:pPr>
            <w:r w:rsidRPr="003A4ED5">
              <w:rPr>
                <w:b/>
                <w:color w:val="000000"/>
                <w:sz w:val="20"/>
                <w:szCs w:val="20"/>
              </w:rPr>
              <w:t>(</w:t>
            </w:r>
            <w:proofErr w:type="gramStart"/>
            <w:r w:rsidRPr="003A4ED5">
              <w:rPr>
                <w:b/>
                <w:color w:val="000000"/>
                <w:sz w:val="20"/>
                <w:szCs w:val="20"/>
              </w:rPr>
              <w:t>in</w:t>
            </w:r>
            <w:proofErr w:type="gramEnd"/>
            <w:r w:rsidRPr="003A4ED5">
              <w:rPr>
                <w:b/>
                <w:color w:val="000000"/>
                <w:sz w:val="20"/>
                <w:szCs w:val="20"/>
              </w:rPr>
              <w:t xml:space="preserve"> PPH)*</w:t>
            </w:r>
          </w:p>
        </w:tc>
        <w:tc>
          <w:tcPr>
            <w:tcW w:w="2233" w:type="dxa"/>
            <w:vMerge/>
            <w:tcBorders>
              <w:left w:val="nil"/>
              <w:bottom w:val="single" w:sz="4" w:space="0" w:color="auto"/>
              <w:right w:val="single" w:sz="4" w:space="0" w:color="auto"/>
            </w:tcBorders>
            <w:shd w:val="clear" w:color="auto" w:fill="auto"/>
            <w:noWrap/>
            <w:vAlign w:val="bottom"/>
            <w:hideMark/>
          </w:tcPr>
          <w:p w14:paraId="5F6C5B79" w14:textId="77777777" w:rsidR="00463EBD" w:rsidRPr="003A4ED5" w:rsidRDefault="00463EBD" w:rsidP="000A0A06">
            <w:pPr>
              <w:jc w:val="left"/>
              <w:rPr>
                <w:b/>
                <w:color w:val="000000"/>
                <w:sz w:val="20"/>
                <w:szCs w:val="20"/>
              </w:rPr>
            </w:pPr>
          </w:p>
        </w:tc>
      </w:tr>
      <w:tr w:rsidR="00463EBD" w:rsidRPr="003A4ED5" w14:paraId="6ACDEF4B" w14:textId="77777777" w:rsidTr="000A0A06">
        <w:trPr>
          <w:trHeight w:val="300"/>
          <w:jc w:val="center"/>
        </w:trPr>
        <w:tc>
          <w:tcPr>
            <w:tcW w:w="1516" w:type="dxa"/>
            <w:tcBorders>
              <w:top w:val="nil"/>
              <w:left w:val="single" w:sz="4" w:space="0" w:color="auto"/>
              <w:bottom w:val="single" w:sz="4" w:space="0" w:color="auto"/>
              <w:right w:val="single" w:sz="4" w:space="0" w:color="auto"/>
            </w:tcBorders>
            <w:shd w:val="clear" w:color="auto" w:fill="auto"/>
            <w:noWrap/>
            <w:hideMark/>
          </w:tcPr>
          <w:p w14:paraId="6089336A" w14:textId="77777777" w:rsidR="00463EBD" w:rsidRPr="003A4ED5" w:rsidRDefault="00463EBD" w:rsidP="000A0A06">
            <w:pPr>
              <w:jc w:val="left"/>
              <w:rPr>
                <w:color w:val="000000"/>
                <w:sz w:val="20"/>
                <w:szCs w:val="20"/>
              </w:rPr>
            </w:pPr>
            <w:r w:rsidRPr="003A4ED5">
              <w:rPr>
                <w:color w:val="000000"/>
                <w:sz w:val="20"/>
                <w:szCs w:val="20"/>
              </w:rPr>
              <w:t xml:space="preserve">Rajiv </w:t>
            </w:r>
            <w:proofErr w:type="spellStart"/>
            <w:r w:rsidRPr="003A4ED5">
              <w:rPr>
                <w:color w:val="000000"/>
                <w:sz w:val="20"/>
                <w:szCs w:val="20"/>
              </w:rPr>
              <w:t>Chowk</w:t>
            </w:r>
            <w:proofErr w:type="spellEnd"/>
          </w:p>
        </w:tc>
        <w:tc>
          <w:tcPr>
            <w:tcW w:w="971" w:type="dxa"/>
            <w:tcBorders>
              <w:top w:val="nil"/>
              <w:left w:val="nil"/>
              <w:bottom w:val="single" w:sz="4" w:space="0" w:color="auto"/>
              <w:right w:val="single" w:sz="4" w:space="0" w:color="auto"/>
            </w:tcBorders>
            <w:shd w:val="clear" w:color="auto" w:fill="auto"/>
            <w:noWrap/>
            <w:hideMark/>
          </w:tcPr>
          <w:p w14:paraId="0A865F86" w14:textId="77777777" w:rsidR="00463EBD" w:rsidRPr="003A4ED5" w:rsidRDefault="00463EBD" w:rsidP="000A0A06">
            <w:pPr>
              <w:ind w:right="123"/>
              <w:jc w:val="right"/>
              <w:rPr>
                <w:color w:val="000000"/>
                <w:sz w:val="20"/>
                <w:szCs w:val="20"/>
              </w:rPr>
            </w:pPr>
            <w:r w:rsidRPr="003A4ED5">
              <w:rPr>
                <w:color w:val="000000"/>
                <w:sz w:val="20"/>
                <w:szCs w:val="20"/>
              </w:rPr>
              <w:t>64,415</w:t>
            </w:r>
          </w:p>
        </w:tc>
        <w:tc>
          <w:tcPr>
            <w:tcW w:w="1100" w:type="dxa"/>
            <w:tcBorders>
              <w:top w:val="nil"/>
              <w:left w:val="nil"/>
              <w:bottom w:val="single" w:sz="4" w:space="0" w:color="auto"/>
              <w:right w:val="single" w:sz="4" w:space="0" w:color="auto"/>
            </w:tcBorders>
            <w:shd w:val="clear" w:color="auto" w:fill="auto"/>
            <w:noWrap/>
            <w:hideMark/>
          </w:tcPr>
          <w:p w14:paraId="600B4E60" w14:textId="77777777" w:rsidR="00463EBD" w:rsidRPr="003A4ED5" w:rsidRDefault="00463EBD" w:rsidP="000A0A06">
            <w:pPr>
              <w:jc w:val="left"/>
              <w:rPr>
                <w:color w:val="000000"/>
                <w:sz w:val="20"/>
                <w:szCs w:val="20"/>
              </w:rPr>
            </w:pPr>
            <w:r w:rsidRPr="003A4ED5">
              <w:rPr>
                <w:color w:val="000000"/>
                <w:sz w:val="20"/>
                <w:szCs w:val="20"/>
              </w:rPr>
              <w:t>Interchange</w:t>
            </w:r>
          </w:p>
        </w:tc>
        <w:tc>
          <w:tcPr>
            <w:tcW w:w="2109" w:type="dxa"/>
            <w:tcBorders>
              <w:top w:val="nil"/>
              <w:left w:val="nil"/>
              <w:bottom w:val="single" w:sz="4" w:space="0" w:color="auto"/>
              <w:right w:val="single" w:sz="4" w:space="0" w:color="auto"/>
            </w:tcBorders>
            <w:shd w:val="clear" w:color="auto" w:fill="auto"/>
            <w:noWrap/>
            <w:hideMark/>
          </w:tcPr>
          <w:p w14:paraId="2CCAA9A5" w14:textId="77777777" w:rsidR="00463EBD" w:rsidRPr="003A4ED5" w:rsidRDefault="00463EBD" w:rsidP="000A0A06">
            <w:pPr>
              <w:jc w:val="left"/>
              <w:rPr>
                <w:color w:val="000000"/>
                <w:sz w:val="20"/>
                <w:szCs w:val="20"/>
              </w:rPr>
            </w:pPr>
            <w:proofErr w:type="gramStart"/>
            <w:r w:rsidRPr="003A4ED5">
              <w:rPr>
                <w:color w:val="000000"/>
                <w:sz w:val="20"/>
                <w:szCs w:val="20"/>
              </w:rPr>
              <w:t>commercial</w:t>
            </w:r>
            <w:proofErr w:type="gramEnd"/>
            <w:r w:rsidRPr="003A4ED5">
              <w:rPr>
                <w:color w:val="000000"/>
                <w:sz w:val="20"/>
                <w:szCs w:val="20"/>
              </w:rPr>
              <w:t>, PSP</w:t>
            </w:r>
          </w:p>
        </w:tc>
        <w:tc>
          <w:tcPr>
            <w:tcW w:w="902" w:type="dxa"/>
            <w:tcBorders>
              <w:top w:val="nil"/>
              <w:left w:val="nil"/>
              <w:bottom w:val="single" w:sz="4" w:space="0" w:color="auto"/>
              <w:right w:val="single" w:sz="4" w:space="0" w:color="auto"/>
            </w:tcBorders>
            <w:shd w:val="clear" w:color="auto" w:fill="auto"/>
            <w:noWrap/>
            <w:hideMark/>
          </w:tcPr>
          <w:p w14:paraId="75DAE093" w14:textId="77777777" w:rsidR="00463EBD" w:rsidRPr="003A4ED5" w:rsidRDefault="00463EBD" w:rsidP="000A0A06">
            <w:pPr>
              <w:ind w:right="284"/>
              <w:jc w:val="right"/>
              <w:rPr>
                <w:color w:val="000000"/>
                <w:sz w:val="20"/>
                <w:szCs w:val="20"/>
              </w:rPr>
            </w:pPr>
            <w:r w:rsidRPr="003A4ED5">
              <w:rPr>
                <w:color w:val="000000"/>
                <w:sz w:val="20"/>
                <w:szCs w:val="20"/>
              </w:rPr>
              <w:t>200</w:t>
            </w:r>
          </w:p>
        </w:tc>
        <w:tc>
          <w:tcPr>
            <w:tcW w:w="2233" w:type="dxa"/>
            <w:tcBorders>
              <w:top w:val="nil"/>
              <w:left w:val="nil"/>
              <w:bottom w:val="single" w:sz="4" w:space="0" w:color="auto"/>
              <w:right w:val="single" w:sz="4" w:space="0" w:color="auto"/>
            </w:tcBorders>
            <w:shd w:val="clear" w:color="auto" w:fill="auto"/>
            <w:noWrap/>
            <w:hideMark/>
          </w:tcPr>
          <w:p w14:paraId="68E66C19" w14:textId="750BC25C" w:rsidR="00463EBD" w:rsidRPr="003A4ED5" w:rsidRDefault="008E782D" w:rsidP="000A0A06">
            <w:pPr>
              <w:jc w:val="left"/>
              <w:rPr>
                <w:color w:val="000000"/>
                <w:sz w:val="20"/>
                <w:szCs w:val="20"/>
              </w:rPr>
            </w:pPr>
            <w:r w:rsidRPr="003A4ED5">
              <w:rPr>
                <w:color w:val="000000"/>
                <w:sz w:val="20"/>
                <w:szCs w:val="20"/>
              </w:rPr>
              <w:t>A</w:t>
            </w:r>
            <w:r w:rsidR="00463EBD" w:rsidRPr="003A4ED5">
              <w:rPr>
                <w:color w:val="000000"/>
                <w:sz w:val="20"/>
                <w:szCs w:val="20"/>
              </w:rPr>
              <w:t>uto</w:t>
            </w:r>
            <w:r>
              <w:rPr>
                <w:color w:val="000000"/>
                <w:sz w:val="20"/>
                <w:szCs w:val="20"/>
              </w:rPr>
              <w:t>-rickshaw</w:t>
            </w:r>
          </w:p>
        </w:tc>
      </w:tr>
      <w:tr w:rsidR="00463EBD" w:rsidRPr="003A4ED5" w14:paraId="30829AE1" w14:textId="77777777" w:rsidTr="000A0A06">
        <w:trPr>
          <w:trHeight w:val="300"/>
          <w:jc w:val="center"/>
        </w:trPr>
        <w:tc>
          <w:tcPr>
            <w:tcW w:w="1516" w:type="dxa"/>
            <w:tcBorders>
              <w:top w:val="nil"/>
              <w:left w:val="single" w:sz="4" w:space="0" w:color="auto"/>
              <w:bottom w:val="single" w:sz="4" w:space="0" w:color="auto"/>
              <w:right w:val="single" w:sz="4" w:space="0" w:color="auto"/>
            </w:tcBorders>
            <w:shd w:val="clear" w:color="auto" w:fill="auto"/>
            <w:noWrap/>
            <w:hideMark/>
          </w:tcPr>
          <w:p w14:paraId="796205E1" w14:textId="77777777" w:rsidR="00463EBD" w:rsidRPr="003A4ED5" w:rsidRDefault="00463EBD" w:rsidP="000A0A06">
            <w:pPr>
              <w:jc w:val="left"/>
              <w:rPr>
                <w:color w:val="000000"/>
                <w:sz w:val="20"/>
                <w:szCs w:val="20"/>
              </w:rPr>
            </w:pPr>
            <w:proofErr w:type="spellStart"/>
            <w:r w:rsidRPr="003A4ED5">
              <w:rPr>
                <w:color w:val="000000"/>
                <w:sz w:val="20"/>
                <w:szCs w:val="20"/>
              </w:rPr>
              <w:t>Chandni</w:t>
            </w:r>
            <w:proofErr w:type="spellEnd"/>
            <w:r w:rsidRPr="003A4ED5">
              <w:rPr>
                <w:color w:val="000000"/>
                <w:sz w:val="20"/>
                <w:szCs w:val="20"/>
              </w:rPr>
              <w:t xml:space="preserve"> </w:t>
            </w:r>
            <w:proofErr w:type="spellStart"/>
            <w:r w:rsidRPr="003A4ED5">
              <w:rPr>
                <w:color w:val="000000"/>
                <w:sz w:val="20"/>
                <w:szCs w:val="20"/>
              </w:rPr>
              <w:t>Chowk</w:t>
            </w:r>
            <w:proofErr w:type="spellEnd"/>
          </w:p>
        </w:tc>
        <w:tc>
          <w:tcPr>
            <w:tcW w:w="971" w:type="dxa"/>
            <w:tcBorders>
              <w:top w:val="nil"/>
              <w:left w:val="nil"/>
              <w:bottom w:val="single" w:sz="4" w:space="0" w:color="auto"/>
              <w:right w:val="single" w:sz="4" w:space="0" w:color="auto"/>
            </w:tcBorders>
            <w:shd w:val="clear" w:color="auto" w:fill="auto"/>
            <w:noWrap/>
            <w:hideMark/>
          </w:tcPr>
          <w:p w14:paraId="40888FD6" w14:textId="77777777" w:rsidR="00463EBD" w:rsidRPr="003A4ED5" w:rsidRDefault="00463EBD" w:rsidP="000A0A06">
            <w:pPr>
              <w:ind w:right="123"/>
              <w:jc w:val="right"/>
              <w:rPr>
                <w:color w:val="000000"/>
                <w:sz w:val="20"/>
                <w:szCs w:val="20"/>
              </w:rPr>
            </w:pPr>
            <w:r w:rsidRPr="003A4ED5">
              <w:rPr>
                <w:color w:val="000000"/>
                <w:sz w:val="20"/>
                <w:szCs w:val="20"/>
              </w:rPr>
              <w:t>62,743</w:t>
            </w:r>
          </w:p>
        </w:tc>
        <w:tc>
          <w:tcPr>
            <w:tcW w:w="1100" w:type="dxa"/>
            <w:tcBorders>
              <w:top w:val="nil"/>
              <w:left w:val="nil"/>
              <w:bottom w:val="single" w:sz="4" w:space="0" w:color="auto"/>
              <w:right w:val="single" w:sz="4" w:space="0" w:color="auto"/>
            </w:tcBorders>
            <w:shd w:val="clear" w:color="auto" w:fill="auto"/>
            <w:noWrap/>
            <w:hideMark/>
          </w:tcPr>
          <w:p w14:paraId="5202CB66" w14:textId="77777777" w:rsidR="00463EBD" w:rsidRPr="003A4ED5" w:rsidRDefault="00463EBD" w:rsidP="000A0A06">
            <w:pPr>
              <w:jc w:val="left"/>
              <w:rPr>
                <w:color w:val="000000"/>
                <w:sz w:val="20"/>
                <w:szCs w:val="20"/>
              </w:rPr>
            </w:pPr>
            <w:r w:rsidRPr="003A4ED5">
              <w:rPr>
                <w:color w:val="000000"/>
                <w:sz w:val="20"/>
                <w:szCs w:val="20"/>
              </w:rPr>
              <w:t>Mid block</w:t>
            </w:r>
          </w:p>
        </w:tc>
        <w:tc>
          <w:tcPr>
            <w:tcW w:w="2109" w:type="dxa"/>
            <w:tcBorders>
              <w:top w:val="nil"/>
              <w:left w:val="nil"/>
              <w:bottom w:val="single" w:sz="4" w:space="0" w:color="auto"/>
              <w:right w:val="single" w:sz="4" w:space="0" w:color="auto"/>
            </w:tcBorders>
            <w:shd w:val="clear" w:color="auto" w:fill="auto"/>
            <w:noWrap/>
            <w:hideMark/>
          </w:tcPr>
          <w:p w14:paraId="5041ECE8" w14:textId="77777777" w:rsidR="00463EBD" w:rsidRPr="003A4ED5" w:rsidRDefault="00463EBD" w:rsidP="000A0A06">
            <w:pPr>
              <w:jc w:val="left"/>
              <w:rPr>
                <w:color w:val="000000"/>
                <w:sz w:val="20"/>
                <w:szCs w:val="20"/>
              </w:rPr>
            </w:pPr>
            <w:proofErr w:type="gramStart"/>
            <w:r w:rsidRPr="003A4ED5">
              <w:rPr>
                <w:color w:val="000000"/>
                <w:sz w:val="20"/>
                <w:szCs w:val="20"/>
              </w:rPr>
              <w:t>commercial</w:t>
            </w:r>
            <w:proofErr w:type="gramEnd"/>
            <w:r w:rsidRPr="003A4ED5">
              <w:rPr>
                <w:color w:val="000000"/>
                <w:sz w:val="20"/>
                <w:szCs w:val="20"/>
              </w:rPr>
              <w:t>, mixed use</w:t>
            </w:r>
          </w:p>
        </w:tc>
        <w:tc>
          <w:tcPr>
            <w:tcW w:w="902" w:type="dxa"/>
            <w:tcBorders>
              <w:top w:val="nil"/>
              <w:left w:val="nil"/>
              <w:bottom w:val="single" w:sz="4" w:space="0" w:color="auto"/>
              <w:right w:val="single" w:sz="4" w:space="0" w:color="auto"/>
            </w:tcBorders>
            <w:shd w:val="clear" w:color="auto" w:fill="auto"/>
            <w:noWrap/>
            <w:hideMark/>
          </w:tcPr>
          <w:p w14:paraId="0C2A6CDB" w14:textId="77777777" w:rsidR="00463EBD" w:rsidRPr="003A4ED5" w:rsidRDefault="00463EBD" w:rsidP="000A0A06">
            <w:pPr>
              <w:ind w:right="284"/>
              <w:jc w:val="right"/>
              <w:rPr>
                <w:color w:val="000000"/>
                <w:sz w:val="20"/>
                <w:szCs w:val="20"/>
              </w:rPr>
            </w:pPr>
            <w:r w:rsidRPr="003A4ED5">
              <w:rPr>
                <w:color w:val="000000"/>
                <w:sz w:val="20"/>
                <w:szCs w:val="20"/>
              </w:rPr>
              <w:t>700</w:t>
            </w:r>
          </w:p>
        </w:tc>
        <w:tc>
          <w:tcPr>
            <w:tcW w:w="2233" w:type="dxa"/>
            <w:tcBorders>
              <w:top w:val="nil"/>
              <w:left w:val="nil"/>
              <w:bottom w:val="single" w:sz="4" w:space="0" w:color="auto"/>
              <w:right w:val="single" w:sz="4" w:space="0" w:color="auto"/>
            </w:tcBorders>
            <w:shd w:val="clear" w:color="auto" w:fill="auto"/>
            <w:noWrap/>
            <w:hideMark/>
          </w:tcPr>
          <w:p w14:paraId="529EC89A" w14:textId="6A0BB670" w:rsidR="00463EBD" w:rsidRPr="003A4ED5" w:rsidRDefault="008E782D" w:rsidP="000A0A06">
            <w:pPr>
              <w:jc w:val="left"/>
              <w:rPr>
                <w:color w:val="000000"/>
                <w:sz w:val="20"/>
                <w:szCs w:val="20"/>
              </w:rPr>
            </w:pPr>
            <w:r>
              <w:rPr>
                <w:color w:val="000000"/>
                <w:sz w:val="20"/>
                <w:szCs w:val="20"/>
              </w:rPr>
              <w:t xml:space="preserve">Cycle </w:t>
            </w:r>
            <w:r w:rsidR="00463EBD" w:rsidRPr="003A4ED5">
              <w:rPr>
                <w:color w:val="000000"/>
                <w:sz w:val="20"/>
                <w:szCs w:val="20"/>
              </w:rPr>
              <w:t>rickshaw</w:t>
            </w:r>
          </w:p>
        </w:tc>
      </w:tr>
      <w:tr w:rsidR="00463EBD" w:rsidRPr="003A4ED5" w14:paraId="268F2C69" w14:textId="77777777" w:rsidTr="000A0A06">
        <w:trPr>
          <w:trHeight w:val="300"/>
          <w:jc w:val="center"/>
        </w:trPr>
        <w:tc>
          <w:tcPr>
            <w:tcW w:w="1516" w:type="dxa"/>
            <w:tcBorders>
              <w:top w:val="nil"/>
              <w:left w:val="single" w:sz="4" w:space="0" w:color="auto"/>
              <w:bottom w:val="single" w:sz="4" w:space="0" w:color="auto"/>
              <w:right w:val="single" w:sz="4" w:space="0" w:color="auto"/>
            </w:tcBorders>
            <w:shd w:val="clear" w:color="auto" w:fill="auto"/>
            <w:noWrap/>
            <w:hideMark/>
          </w:tcPr>
          <w:p w14:paraId="1D7C88E6" w14:textId="77777777" w:rsidR="00463EBD" w:rsidRPr="003A4ED5" w:rsidRDefault="00463EBD" w:rsidP="000A0A06">
            <w:pPr>
              <w:jc w:val="left"/>
              <w:rPr>
                <w:color w:val="000000"/>
                <w:sz w:val="20"/>
                <w:szCs w:val="20"/>
              </w:rPr>
            </w:pPr>
            <w:r w:rsidRPr="003A4ED5">
              <w:rPr>
                <w:color w:val="000000"/>
                <w:sz w:val="20"/>
                <w:szCs w:val="20"/>
              </w:rPr>
              <w:t>Noida City Centre</w:t>
            </w:r>
          </w:p>
        </w:tc>
        <w:tc>
          <w:tcPr>
            <w:tcW w:w="971" w:type="dxa"/>
            <w:tcBorders>
              <w:top w:val="nil"/>
              <w:left w:val="nil"/>
              <w:bottom w:val="single" w:sz="4" w:space="0" w:color="auto"/>
              <w:right w:val="single" w:sz="4" w:space="0" w:color="auto"/>
            </w:tcBorders>
            <w:shd w:val="clear" w:color="auto" w:fill="auto"/>
            <w:noWrap/>
            <w:hideMark/>
          </w:tcPr>
          <w:p w14:paraId="4D9CAD41" w14:textId="77777777" w:rsidR="00463EBD" w:rsidRPr="003A4ED5" w:rsidRDefault="00463EBD" w:rsidP="000A0A06">
            <w:pPr>
              <w:ind w:right="123"/>
              <w:jc w:val="right"/>
              <w:rPr>
                <w:color w:val="000000"/>
                <w:sz w:val="20"/>
                <w:szCs w:val="20"/>
              </w:rPr>
            </w:pPr>
            <w:r w:rsidRPr="003A4ED5">
              <w:rPr>
                <w:color w:val="000000"/>
                <w:sz w:val="20"/>
                <w:szCs w:val="20"/>
              </w:rPr>
              <w:t>28,455</w:t>
            </w:r>
          </w:p>
        </w:tc>
        <w:tc>
          <w:tcPr>
            <w:tcW w:w="1100" w:type="dxa"/>
            <w:tcBorders>
              <w:top w:val="nil"/>
              <w:left w:val="nil"/>
              <w:bottom w:val="single" w:sz="4" w:space="0" w:color="auto"/>
              <w:right w:val="single" w:sz="4" w:space="0" w:color="auto"/>
            </w:tcBorders>
            <w:shd w:val="clear" w:color="auto" w:fill="auto"/>
            <w:noWrap/>
            <w:hideMark/>
          </w:tcPr>
          <w:p w14:paraId="0EAF7E51" w14:textId="77777777" w:rsidR="00463EBD" w:rsidRPr="003A4ED5" w:rsidRDefault="00463EBD" w:rsidP="000A0A06">
            <w:pPr>
              <w:jc w:val="left"/>
              <w:rPr>
                <w:color w:val="000000"/>
                <w:sz w:val="20"/>
                <w:szCs w:val="20"/>
              </w:rPr>
            </w:pPr>
            <w:r w:rsidRPr="003A4ED5">
              <w:rPr>
                <w:color w:val="000000"/>
                <w:sz w:val="20"/>
                <w:szCs w:val="20"/>
              </w:rPr>
              <w:t>Terminal</w:t>
            </w:r>
          </w:p>
        </w:tc>
        <w:tc>
          <w:tcPr>
            <w:tcW w:w="2109" w:type="dxa"/>
            <w:tcBorders>
              <w:top w:val="nil"/>
              <w:left w:val="nil"/>
              <w:bottom w:val="single" w:sz="4" w:space="0" w:color="auto"/>
              <w:right w:val="single" w:sz="4" w:space="0" w:color="auto"/>
            </w:tcBorders>
            <w:shd w:val="clear" w:color="auto" w:fill="auto"/>
            <w:noWrap/>
            <w:hideMark/>
          </w:tcPr>
          <w:p w14:paraId="7D8DABE2" w14:textId="77777777" w:rsidR="00463EBD" w:rsidRPr="003A4ED5" w:rsidRDefault="00463EBD" w:rsidP="000A0A06">
            <w:pPr>
              <w:jc w:val="left"/>
              <w:rPr>
                <w:color w:val="000000"/>
                <w:sz w:val="20"/>
                <w:szCs w:val="20"/>
              </w:rPr>
            </w:pPr>
            <w:proofErr w:type="gramStart"/>
            <w:r w:rsidRPr="003A4ED5">
              <w:rPr>
                <w:color w:val="000000"/>
                <w:sz w:val="20"/>
                <w:szCs w:val="20"/>
              </w:rPr>
              <w:t>residential</w:t>
            </w:r>
            <w:proofErr w:type="gramEnd"/>
          </w:p>
        </w:tc>
        <w:tc>
          <w:tcPr>
            <w:tcW w:w="902" w:type="dxa"/>
            <w:tcBorders>
              <w:top w:val="nil"/>
              <w:left w:val="nil"/>
              <w:bottom w:val="single" w:sz="4" w:space="0" w:color="auto"/>
              <w:right w:val="single" w:sz="4" w:space="0" w:color="auto"/>
            </w:tcBorders>
            <w:shd w:val="clear" w:color="auto" w:fill="auto"/>
            <w:noWrap/>
            <w:hideMark/>
          </w:tcPr>
          <w:p w14:paraId="3F0801BA" w14:textId="77777777" w:rsidR="00463EBD" w:rsidRPr="003A4ED5" w:rsidRDefault="00463EBD" w:rsidP="000A0A06">
            <w:pPr>
              <w:ind w:right="284"/>
              <w:jc w:val="right"/>
              <w:rPr>
                <w:color w:val="000000"/>
                <w:sz w:val="20"/>
                <w:szCs w:val="20"/>
              </w:rPr>
            </w:pPr>
            <w:r w:rsidRPr="003A4ED5">
              <w:rPr>
                <w:color w:val="000000"/>
                <w:sz w:val="20"/>
                <w:szCs w:val="20"/>
              </w:rPr>
              <w:t>250</w:t>
            </w:r>
          </w:p>
        </w:tc>
        <w:tc>
          <w:tcPr>
            <w:tcW w:w="2233" w:type="dxa"/>
            <w:tcBorders>
              <w:top w:val="nil"/>
              <w:left w:val="nil"/>
              <w:bottom w:val="single" w:sz="4" w:space="0" w:color="auto"/>
              <w:right w:val="single" w:sz="4" w:space="0" w:color="auto"/>
            </w:tcBorders>
            <w:shd w:val="clear" w:color="auto" w:fill="auto"/>
            <w:noWrap/>
            <w:hideMark/>
          </w:tcPr>
          <w:p w14:paraId="31370387" w14:textId="08B4199C" w:rsidR="00463EBD" w:rsidRPr="003A4ED5" w:rsidRDefault="008E782D" w:rsidP="000A0A06">
            <w:pPr>
              <w:jc w:val="left"/>
              <w:rPr>
                <w:color w:val="000000"/>
                <w:sz w:val="20"/>
                <w:szCs w:val="20"/>
              </w:rPr>
            </w:pPr>
            <w:r>
              <w:rPr>
                <w:color w:val="000000"/>
                <w:sz w:val="20"/>
                <w:szCs w:val="20"/>
              </w:rPr>
              <w:t xml:space="preserve">Cycle </w:t>
            </w:r>
            <w:r w:rsidR="00463EBD" w:rsidRPr="003A4ED5">
              <w:rPr>
                <w:color w:val="000000"/>
                <w:sz w:val="20"/>
                <w:szCs w:val="20"/>
              </w:rPr>
              <w:t>rickshaw, auto</w:t>
            </w:r>
            <w:r>
              <w:rPr>
                <w:color w:val="000000"/>
                <w:sz w:val="20"/>
                <w:szCs w:val="20"/>
              </w:rPr>
              <w:t>-rickshaw</w:t>
            </w:r>
            <w:r w:rsidR="00463EBD" w:rsidRPr="003A4ED5">
              <w:rPr>
                <w:color w:val="000000"/>
                <w:sz w:val="20"/>
                <w:szCs w:val="20"/>
              </w:rPr>
              <w:t>, shared auto</w:t>
            </w:r>
            <w:r>
              <w:rPr>
                <w:color w:val="000000"/>
                <w:sz w:val="20"/>
                <w:szCs w:val="20"/>
              </w:rPr>
              <w:t>-rickshaw</w:t>
            </w:r>
            <w:r w:rsidR="00463EBD" w:rsidRPr="003A4ED5">
              <w:rPr>
                <w:color w:val="000000"/>
                <w:sz w:val="20"/>
                <w:szCs w:val="20"/>
              </w:rPr>
              <w:t xml:space="preserve"> (</w:t>
            </w:r>
            <w:proofErr w:type="spellStart"/>
            <w:r w:rsidR="00463EBD" w:rsidRPr="003A4ED5">
              <w:rPr>
                <w:color w:val="000000"/>
                <w:sz w:val="20"/>
                <w:szCs w:val="20"/>
              </w:rPr>
              <w:t>Vikram</w:t>
            </w:r>
            <w:proofErr w:type="spellEnd"/>
            <w:r w:rsidR="00463EBD" w:rsidRPr="003A4ED5">
              <w:rPr>
                <w:color w:val="000000"/>
                <w:sz w:val="20"/>
                <w:szCs w:val="20"/>
              </w:rPr>
              <w:t>), bus</w:t>
            </w:r>
          </w:p>
        </w:tc>
      </w:tr>
      <w:tr w:rsidR="00463EBD" w:rsidRPr="003A4ED5" w14:paraId="65F39B12" w14:textId="77777777" w:rsidTr="000A0A06">
        <w:trPr>
          <w:trHeight w:val="300"/>
          <w:jc w:val="center"/>
        </w:trPr>
        <w:tc>
          <w:tcPr>
            <w:tcW w:w="1516" w:type="dxa"/>
            <w:tcBorders>
              <w:top w:val="nil"/>
              <w:left w:val="single" w:sz="4" w:space="0" w:color="auto"/>
              <w:bottom w:val="single" w:sz="4" w:space="0" w:color="auto"/>
              <w:right w:val="single" w:sz="4" w:space="0" w:color="auto"/>
            </w:tcBorders>
            <w:shd w:val="clear" w:color="auto" w:fill="auto"/>
            <w:noWrap/>
            <w:hideMark/>
          </w:tcPr>
          <w:p w14:paraId="5DA76DDE" w14:textId="77777777" w:rsidR="00463EBD" w:rsidRPr="003A4ED5" w:rsidRDefault="00463EBD" w:rsidP="000A0A06">
            <w:pPr>
              <w:jc w:val="left"/>
              <w:rPr>
                <w:color w:val="000000"/>
                <w:sz w:val="20"/>
                <w:szCs w:val="20"/>
              </w:rPr>
            </w:pPr>
            <w:proofErr w:type="spellStart"/>
            <w:r w:rsidRPr="003A4ED5">
              <w:rPr>
                <w:color w:val="000000"/>
                <w:sz w:val="20"/>
                <w:szCs w:val="20"/>
              </w:rPr>
              <w:t>Chhatarpur</w:t>
            </w:r>
            <w:proofErr w:type="spellEnd"/>
          </w:p>
        </w:tc>
        <w:tc>
          <w:tcPr>
            <w:tcW w:w="971" w:type="dxa"/>
            <w:tcBorders>
              <w:top w:val="nil"/>
              <w:left w:val="nil"/>
              <w:bottom w:val="single" w:sz="4" w:space="0" w:color="auto"/>
              <w:right w:val="single" w:sz="4" w:space="0" w:color="auto"/>
            </w:tcBorders>
            <w:shd w:val="clear" w:color="auto" w:fill="auto"/>
            <w:noWrap/>
            <w:hideMark/>
          </w:tcPr>
          <w:p w14:paraId="7B2EC08D" w14:textId="77777777" w:rsidR="00463EBD" w:rsidRPr="003A4ED5" w:rsidRDefault="00463EBD" w:rsidP="000A0A06">
            <w:pPr>
              <w:ind w:right="123"/>
              <w:jc w:val="right"/>
              <w:rPr>
                <w:color w:val="000000"/>
                <w:sz w:val="20"/>
                <w:szCs w:val="20"/>
              </w:rPr>
            </w:pPr>
            <w:r w:rsidRPr="003A4ED5">
              <w:rPr>
                <w:color w:val="000000"/>
                <w:sz w:val="20"/>
                <w:szCs w:val="20"/>
              </w:rPr>
              <w:t>24,331</w:t>
            </w:r>
          </w:p>
        </w:tc>
        <w:tc>
          <w:tcPr>
            <w:tcW w:w="1100" w:type="dxa"/>
            <w:tcBorders>
              <w:top w:val="nil"/>
              <w:left w:val="nil"/>
              <w:bottom w:val="single" w:sz="4" w:space="0" w:color="auto"/>
              <w:right w:val="single" w:sz="4" w:space="0" w:color="auto"/>
            </w:tcBorders>
            <w:shd w:val="clear" w:color="auto" w:fill="auto"/>
            <w:noWrap/>
            <w:hideMark/>
          </w:tcPr>
          <w:p w14:paraId="4B9DD86F" w14:textId="77777777" w:rsidR="00463EBD" w:rsidRPr="003A4ED5" w:rsidRDefault="00463EBD" w:rsidP="000A0A06">
            <w:pPr>
              <w:jc w:val="left"/>
              <w:rPr>
                <w:color w:val="000000"/>
                <w:sz w:val="20"/>
                <w:szCs w:val="20"/>
              </w:rPr>
            </w:pPr>
            <w:r w:rsidRPr="003A4ED5">
              <w:rPr>
                <w:color w:val="000000"/>
                <w:sz w:val="20"/>
                <w:szCs w:val="20"/>
              </w:rPr>
              <w:t>Mid block</w:t>
            </w:r>
          </w:p>
        </w:tc>
        <w:tc>
          <w:tcPr>
            <w:tcW w:w="2109" w:type="dxa"/>
            <w:tcBorders>
              <w:top w:val="nil"/>
              <w:left w:val="nil"/>
              <w:bottom w:val="single" w:sz="4" w:space="0" w:color="auto"/>
              <w:right w:val="single" w:sz="4" w:space="0" w:color="auto"/>
            </w:tcBorders>
            <w:shd w:val="clear" w:color="auto" w:fill="auto"/>
            <w:noWrap/>
            <w:hideMark/>
          </w:tcPr>
          <w:p w14:paraId="0184F3DE" w14:textId="5A4BA7CA" w:rsidR="00463EBD" w:rsidRPr="003A4ED5" w:rsidRDefault="00463EBD" w:rsidP="000A0A06">
            <w:pPr>
              <w:jc w:val="left"/>
              <w:rPr>
                <w:color w:val="000000"/>
                <w:sz w:val="20"/>
                <w:szCs w:val="20"/>
              </w:rPr>
            </w:pPr>
            <w:proofErr w:type="gramStart"/>
            <w:r w:rsidRPr="003A4ED5">
              <w:rPr>
                <w:color w:val="000000"/>
                <w:sz w:val="20"/>
                <w:szCs w:val="20"/>
              </w:rPr>
              <w:t>residential</w:t>
            </w:r>
            <w:proofErr w:type="gramEnd"/>
            <w:r w:rsidRPr="003A4ED5">
              <w:rPr>
                <w:color w:val="000000"/>
                <w:sz w:val="20"/>
                <w:szCs w:val="20"/>
              </w:rPr>
              <w:t>, PSP, informal commercial</w:t>
            </w:r>
          </w:p>
        </w:tc>
        <w:tc>
          <w:tcPr>
            <w:tcW w:w="902" w:type="dxa"/>
            <w:tcBorders>
              <w:top w:val="nil"/>
              <w:left w:val="nil"/>
              <w:bottom w:val="single" w:sz="4" w:space="0" w:color="auto"/>
              <w:right w:val="single" w:sz="4" w:space="0" w:color="auto"/>
            </w:tcBorders>
            <w:shd w:val="clear" w:color="auto" w:fill="auto"/>
            <w:noWrap/>
            <w:hideMark/>
          </w:tcPr>
          <w:p w14:paraId="648C4172" w14:textId="77777777" w:rsidR="00463EBD" w:rsidRPr="003A4ED5" w:rsidRDefault="00463EBD" w:rsidP="000A0A06">
            <w:pPr>
              <w:ind w:right="284"/>
              <w:jc w:val="right"/>
              <w:rPr>
                <w:color w:val="000000"/>
                <w:sz w:val="20"/>
                <w:szCs w:val="20"/>
              </w:rPr>
            </w:pPr>
            <w:r w:rsidRPr="003A4ED5">
              <w:rPr>
                <w:color w:val="000000"/>
                <w:sz w:val="20"/>
                <w:szCs w:val="20"/>
              </w:rPr>
              <w:t>350</w:t>
            </w:r>
          </w:p>
        </w:tc>
        <w:tc>
          <w:tcPr>
            <w:tcW w:w="2233" w:type="dxa"/>
            <w:tcBorders>
              <w:top w:val="nil"/>
              <w:left w:val="nil"/>
              <w:bottom w:val="single" w:sz="4" w:space="0" w:color="auto"/>
              <w:right w:val="single" w:sz="4" w:space="0" w:color="auto"/>
            </w:tcBorders>
            <w:shd w:val="clear" w:color="auto" w:fill="auto"/>
            <w:noWrap/>
            <w:hideMark/>
          </w:tcPr>
          <w:p w14:paraId="73B79C49" w14:textId="1D6069E5" w:rsidR="00463EBD" w:rsidRPr="003A4ED5" w:rsidRDefault="008E782D" w:rsidP="000A0A06">
            <w:pPr>
              <w:jc w:val="left"/>
              <w:rPr>
                <w:color w:val="000000"/>
                <w:sz w:val="20"/>
                <w:szCs w:val="20"/>
              </w:rPr>
            </w:pPr>
            <w:r w:rsidRPr="003A4ED5">
              <w:rPr>
                <w:color w:val="000000"/>
                <w:sz w:val="20"/>
                <w:szCs w:val="20"/>
              </w:rPr>
              <w:t>A</w:t>
            </w:r>
            <w:r w:rsidR="00463EBD" w:rsidRPr="003A4ED5">
              <w:rPr>
                <w:color w:val="000000"/>
                <w:sz w:val="20"/>
                <w:szCs w:val="20"/>
              </w:rPr>
              <w:t>uto</w:t>
            </w:r>
            <w:r>
              <w:rPr>
                <w:color w:val="000000"/>
                <w:sz w:val="20"/>
                <w:szCs w:val="20"/>
              </w:rPr>
              <w:t>-rickshaw</w:t>
            </w:r>
            <w:r w:rsidR="00463EBD" w:rsidRPr="003A4ED5">
              <w:rPr>
                <w:color w:val="000000"/>
                <w:sz w:val="20"/>
                <w:szCs w:val="20"/>
              </w:rPr>
              <w:t>, shared auto</w:t>
            </w:r>
            <w:r>
              <w:rPr>
                <w:color w:val="000000"/>
                <w:sz w:val="20"/>
                <w:szCs w:val="20"/>
              </w:rPr>
              <w:t>-rickshaw</w:t>
            </w:r>
            <w:r w:rsidR="00463EBD" w:rsidRPr="003A4ED5">
              <w:rPr>
                <w:color w:val="000000"/>
                <w:sz w:val="20"/>
                <w:szCs w:val="20"/>
              </w:rPr>
              <w:t xml:space="preserve"> (</w:t>
            </w:r>
            <w:proofErr w:type="spellStart"/>
            <w:r w:rsidR="00463EBD" w:rsidRPr="003A4ED5">
              <w:rPr>
                <w:color w:val="000000"/>
                <w:sz w:val="20"/>
                <w:szCs w:val="20"/>
              </w:rPr>
              <w:t>gramin</w:t>
            </w:r>
            <w:proofErr w:type="spellEnd"/>
            <w:r w:rsidR="00463EBD" w:rsidRPr="003A4ED5">
              <w:rPr>
                <w:color w:val="000000"/>
                <w:sz w:val="20"/>
                <w:szCs w:val="20"/>
              </w:rPr>
              <w:t xml:space="preserve"> </w:t>
            </w:r>
            <w:proofErr w:type="spellStart"/>
            <w:r w:rsidR="00463EBD" w:rsidRPr="003A4ED5">
              <w:rPr>
                <w:color w:val="000000"/>
                <w:sz w:val="20"/>
                <w:szCs w:val="20"/>
              </w:rPr>
              <w:t>seva</w:t>
            </w:r>
            <w:proofErr w:type="spellEnd"/>
            <w:r w:rsidR="00463EBD" w:rsidRPr="003A4ED5">
              <w:rPr>
                <w:color w:val="000000"/>
                <w:sz w:val="20"/>
                <w:szCs w:val="20"/>
              </w:rPr>
              <w:t>), feeder shuttle, bus</w:t>
            </w:r>
          </w:p>
        </w:tc>
      </w:tr>
      <w:tr w:rsidR="00463EBD" w:rsidRPr="003A4ED5" w14:paraId="6985036D" w14:textId="77777777" w:rsidTr="000A0A06">
        <w:trPr>
          <w:trHeight w:val="300"/>
          <w:jc w:val="center"/>
        </w:trPr>
        <w:tc>
          <w:tcPr>
            <w:tcW w:w="1516" w:type="dxa"/>
            <w:tcBorders>
              <w:top w:val="nil"/>
              <w:left w:val="single" w:sz="4" w:space="0" w:color="auto"/>
              <w:bottom w:val="single" w:sz="4" w:space="0" w:color="auto"/>
              <w:right w:val="single" w:sz="4" w:space="0" w:color="auto"/>
            </w:tcBorders>
            <w:shd w:val="clear" w:color="auto" w:fill="auto"/>
            <w:noWrap/>
            <w:hideMark/>
          </w:tcPr>
          <w:p w14:paraId="4D90F9CC" w14:textId="77777777" w:rsidR="00463EBD" w:rsidRPr="003A4ED5" w:rsidRDefault="00463EBD" w:rsidP="000A0A06">
            <w:pPr>
              <w:jc w:val="left"/>
              <w:rPr>
                <w:color w:val="000000"/>
                <w:sz w:val="20"/>
                <w:szCs w:val="20"/>
              </w:rPr>
            </w:pPr>
            <w:proofErr w:type="spellStart"/>
            <w:r w:rsidRPr="003A4ED5">
              <w:rPr>
                <w:color w:val="000000"/>
                <w:sz w:val="20"/>
                <w:szCs w:val="20"/>
              </w:rPr>
              <w:t>Vishwavidyalay</w:t>
            </w:r>
            <w:proofErr w:type="spellEnd"/>
          </w:p>
        </w:tc>
        <w:tc>
          <w:tcPr>
            <w:tcW w:w="971" w:type="dxa"/>
            <w:tcBorders>
              <w:top w:val="nil"/>
              <w:left w:val="nil"/>
              <w:bottom w:val="single" w:sz="4" w:space="0" w:color="auto"/>
              <w:right w:val="single" w:sz="4" w:space="0" w:color="auto"/>
            </w:tcBorders>
            <w:shd w:val="clear" w:color="auto" w:fill="auto"/>
            <w:noWrap/>
            <w:hideMark/>
          </w:tcPr>
          <w:p w14:paraId="4DCBF567" w14:textId="77777777" w:rsidR="00463EBD" w:rsidRPr="003A4ED5" w:rsidRDefault="00463EBD" w:rsidP="000A0A06">
            <w:pPr>
              <w:ind w:right="123"/>
              <w:jc w:val="right"/>
              <w:rPr>
                <w:color w:val="000000"/>
                <w:sz w:val="20"/>
                <w:szCs w:val="20"/>
              </w:rPr>
            </w:pPr>
            <w:r w:rsidRPr="003A4ED5">
              <w:rPr>
                <w:color w:val="000000"/>
                <w:sz w:val="20"/>
                <w:szCs w:val="20"/>
              </w:rPr>
              <w:t>23,182</w:t>
            </w:r>
          </w:p>
        </w:tc>
        <w:tc>
          <w:tcPr>
            <w:tcW w:w="1100" w:type="dxa"/>
            <w:tcBorders>
              <w:top w:val="nil"/>
              <w:left w:val="nil"/>
              <w:bottom w:val="single" w:sz="4" w:space="0" w:color="auto"/>
              <w:right w:val="single" w:sz="4" w:space="0" w:color="auto"/>
            </w:tcBorders>
            <w:shd w:val="clear" w:color="auto" w:fill="auto"/>
            <w:noWrap/>
            <w:hideMark/>
          </w:tcPr>
          <w:p w14:paraId="249258A5" w14:textId="77777777" w:rsidR="00463EBD" w:rsidRPr="003A4ED5" w:rsidRDefault="00463EBD" w:rsidP="000A0A06">
            <w:pPr>
              <w:jc w:val="left"/>
              <w:rPr>
                <w:color w:val="000000"/>
                <w:sz w:val="20"/>
                <w:szCs w:val="20"/>
              </w:rPr>
            </w:pPr>
            <w:r w:rsidRPr="003A4ED5">
              <w:rPr>
                <w:color w:val="000000"/>
                <w:sz w:val="20"/>
                <w:szCs w:val="20"/>
              </w:rPr>
              <w:t>Mid block</w:t>
            </w:r>
          </w:p>
        </w:tc>
        <w:tc>
          <w:tcPr>
            <w:tcW w:w="2109" w:type="dxa"/>
            <w:tcBorders>
              <w:top w:val="nil"/>
              <w:left w:val="nil"/>
              <w:bottom w:val="single" w:sz="4" w:space="0" w:color="auto"/>
              <w:right w:val="single" w:sz="4" w:space="0" w:color="auto"/>
            </w:tcBorders>
            <w:shd w:val="clear" w:color="auto" w:fill="auto"/>
            <w:noWrap/>
            <w:hideMark/>
          </w:tcPr>
          <w:p w14:paraId="1D5F7ED2" w14:textId="77777777" w:rsidR="00463EBD" w:rsidRPr="003A4ED5" w:rsidRDefault="00463EBD" w:rsidP="000A0A06">
            <w:pPr>
              <w:jc w:val="left"/>
              <w:rPr>
                <w:color w:val="000000"/>
                <w:sz w:val="20"/>
                <w:szCs w:val="20"/>
              </w:rPr>
            </w:pPr>
            <w:proofErr w:type="gramStart"/>
            <w:r w:rsidRPr="003A4ED5">
              <w:rPr>
                <w:color w:val="000000"/>
                <w:sz w:val="20"/>
                <w:szCs w:val="20"/>
              </w:rPr>
              <w:t>residential</w:t>
            </w:r>
            <w:proofErr w:type="gramEnd"/>
            <w:r w:rsidRPr="003A4ED5">
              <w:rPr>
                <w:color w:val="000000"/>
                <w:sz w:val="20"/>
                <w:szCs w:val="20"/>
              </w:rPr>
              <w:t>, commercial, institutional</w:t>
            </w:r>
          </w:p>
        </w:tc>
        <w:tc>
          <w:tcPr>
            <w:tcW w:w="902" w:type="dxa"/>
            <w:tcBorders>
              <w:top w:val="nil"/>
              <w:left w:val="nil"/>
              <w:bottom w:val="single" w:sz="4" w:space="0" w:color="auto"/>
              <w:right w:val="single" w:sz="4" w:space="0" w:color="auto"/>
            </w:tcBorders>
            <w:shd w:val="clear" w:color="auto" w:fill="auto"/>
            <w:noWrap/>
            <w:hideMark/>
          </w:tcPr>
          <w:p w14:paraId="7390FFB3" w14:textId="77777777" w:rsidR="00463EBD" w:rsidRPr="003A4ED5" w:rsidRDefault="00463EBD" w:rsidP="000A0A06">
            <w:pPr>
              <w:ind w:right="284"/>
              <w:jc w:val="right"/>
              <w:rPr>
                <w:color w:val="000000"/>
                <w:sz w:val="20"/>
                <w:szCs w:val="20"/>
              </w:rPr>
            </w:pPr>
            <w:r w:rsidRPr="003A4ED5">
              <w:rPr>
                <w:color w:val="000000"/>
                <w:sz w:val="20"/>
                <w:szCs w:val="20"/>
              </w:rPr>
              <w:t>400</w:t>
            </w:r>
          </w:p>
        </w:tc>
        <w:tc>
          <w:tcPr>
            <w:tcW w:w="2233" w:type="dxa"/>
            <w:tcBorders>
              <w:top w:val="nil"/>
              <w:left w:val="nil"/>
              <w:bottom w:val="single" w:sz="4" w:space="0" w:color="auto"/>
              <w:right w:val="single" w:sz="4" w:space="0" w:color="auto"/>
            </w:tcBorders>
            <w:shd w:val="clear" w:color="auto" w:fill="auto"/>
            <w:noWrap/>
            <w:hideMark/>
          </w:tcPr>
          <w:p w14:paraId="1CAE65D3" w14:textId="3B30B75B" w:rsidR="00463EBD" w:rsidRPr="003A4ED5" w:rsidRDefault="008E782D" w:rsidP="000A0A06">
            <w:pPr>
              <w:jc w:val="left"/>
              <w:rPr>
                <w:color w:val="000000"/>
                <w:sz w:val="20"/>
                <w:szCs w:val="20"/>
              </w:rPr>
            </w:pPr>
            <w:r>
              <w:rPr>
                <w:color w:val="000000"/>
                <w:sz w:val="20"/>
                <w:szCs w:val="20"/>
              </w:rPr>
              <w:t>Cycle rickshaw, auto-rickshaw,</w:t>
            </w:r>
            <w:r w:rsidR="00463EBD" w:rsidRPr="003A4ED5">
              <w:rPr>
                <w:color w:val="000000"/>
                <w:sz w:val="20"/>
                <w:szCs w:val="20"/>
              </w:rPr>
              <w:t xml:space="preserve"> e-rickshaw, bicycle on rent, feeder shuttle, bus</w:t>
            </w:r>
          </w:p>
        </w:tc>
      </w:tr>
      <w:tr w:rsidR="00463EBD" w:rsidRPr="003A4ED5" w14:paraId="01D89B92" w14:textId="77777777" w:rsidTr="000A0A06">
        <w:trPr>
          <w:trHeight w:val="300"/>
          <w:jc w:val="center"/>
        </w:trPr>
        <w:tc>
          <w:tcPr>
            <w:tcW w:w="1516" w:type="dxa"/>
            <w:tcBorders>
              <w:top w:val="nil"/>
              <w:left w:val="single" w:sz="4" w:space="0" w:color="auto"/>
              <w:bottom w:val="single" w:sz="4" w:space="0" w:color="auto"/>
              <w:right w:val="single" w:sz="4" w:space="0" w:color="auto"/>
            </w:tcBorders>
            <w:shd w:val="clear" w:color="auto" w:fill="auto"/>
            <w:noWrap/>
            <w:hideMark/>
          </w:tcPr>
          <w:p w14:paraId="2EE15A25" w14:textId="77777777" w:rsidR="00463EBD" w:rsidRPr="003A4ED5" w:rsidRDefault="00463EBD" w:rsidP="000A0A06">
            <w:pPr>
              <w:jc w:val="left"/>
              <w:rPr>
                <w:color w:val="000000"/>
                <w:sz w:val="20"/>
                <w:szCs w:val="20"/>
              </w:rPr>
            </w:pPr>
            <w:proofErr w:type="spellStart"/>
            <w:r w:rsidRPr="003A4ED5">
              <w:rPr>
                <w:color w:val="000000"/>
                <w:sz w:val="20"/>
                <w:szCs w:val="20"/>
              </w:rPr>
              <w:t>Akshardham</w:t>
            </w:r>
            <w:proofErr w:type="spellEnd"/>
          </w:p>
        </w:tc>
        <w:tc>
          <w:tcPr>
            <w:tcW w:w="971" w:type="dxa"/>
            <w:tcBorders>
              <w:top w:val="nil"/>
              <w:left w:val="nil"/>
              <w:bottom w:val="single" w:sz="4" w:space="0" w:color="auto"/>
              <w:right w:val="single" w:sz="4" w:space="0" w:color="auto"/>
            </w:tcBorders>
            <w:shd w:val="clear" w:color="auto" w:fill="auto"/>
            <w:noWrap/>
            <w:hideMark/>
          </w:tcPr>
          <w:p w14:paraId="164C0659" w14:textId="77777777" w:rsidR="00463EBD" w:rsidRPr="003A4ED5" w:rsidRDefault="00463EBD" w:rsidP="000A0A06">
            <w:pPr>
              <w:ind w:right="123"/>
              <w:jc w:val="right"/>
              <w:rPr>
                <w:color w:val="000000"/>
                <w:sz w:val="20"/>
                <w:szCs w:val="20"/>
              </w:rPr>
            </w:pPr>
            <w:r w:rsidRPr="003A4ED5">
              <w:rPr>
                <w:color w:val="000000"/>
                <w:sz w:val="20"/>
                <w:szCs w:val="20"/>
              </w:rPr>
              <w:t>14,589</w:t>
            </w:r>
          </w:p>
        </w:tc>
        <w:tc>
          <w:tcPr>
            <w:tcW w:w="1100" w:type="dxa"/>
            <w:tcBorders>
              <w:top w:val="nil"/>
              <w:left w:val="nil"/>
              <w:bottom w:val="single" w:sz="4" w:space="0" w:color="auto"/>
              <w:right w:val="single" w:sz="4" w:space="0" w:color="auto"/>
            </w:tcBorders>
            <w:shd w:val="clear" w:color="auto" w:fill="auto"/>
            <w:noWrap/>
            <w:hideMark/>
          </w:tcPr>
          <w:p w14:paraId="7D9C540D" w14:textId="77777777" w:rsidR="00463EBD" w:rsidRPr="003A4ED5" w:rsidRDefault="00463EBD" w:rsidP="000A0A06">
            <w:pPr>
              <w:jc w:val="left"/>
              <w:rPr>
                <w:color w:val="000000"/>
                <w:sz w:val="20"/>
                <w:szCs w:val="20"/>
              </w:rPr>
            </w:pPr>
            <w:r w:rsidRPr="003A4ED5">
              <w:rPr>
                <w:color w:val="000000"/>
                <w:sz w:val="20"/>
                <w:szCs w:val="20"/>
              </w:rPr>
              <w:t>Mid block</w:t>
            </w:r>
          </w:p>
        </w:tc>
        <w:tc>
          <w:tcPr>
            <w:tcW w:w="2109" w:type="dxa"/>
            <w:tcBorders>
              <w:top w:val="nil"/>
              <w:left w:val="nil"/>
              <w:bottom w:val="single" w:sz="4" w:space="0" w:color="auto"/>
              <w:right w:val="single" w:sz="4" w:space="0" w:color="auto"/>
            </w:tcBorders>
            <w:shd w:val="clear" w:color="auto" w:fill="auto"/>
            <w:noWrap/>
            <w:hideMark/>
          </w:tcPr>
          <w:p w14:paraId="7151811D" w14:textId="77777777" w:rsidR="00463EBD" w:rsidRPr="003A4ED5" w:rsidRDefault="00463EBD" w:rsidP="000A0A06">
            <w:pPr>
              <w:jc w:val="left"/>
              <w:rPr>
                <w:color w:val="000000"/>
                <w:sz w:val="20"/>
                <w:szCs w:val="20"/>
              </w:rPr>
            </w:pPr>
            <w:r w:rsidRPr="003A4ED5">
              <w:rPr>
                <w:color w:val="000000"/>
                <w:sz w:val="20"/>
                <w:szCs w:val="20"/>
              </w:rPr>
              <w:t>PSP, residential</w:t>
            </w:r>
          </w:p>
        </w:tc>
        <w:tc>
          <w:tcPr>
            <w:tcW w:w="902" w:type="dxa"/>
            <w:tcBorders>
              <w:top w:val="nil"/>
              <w:left w:val="nil"/>
              <w:bottom w:val="single" w:sz="4" w:space="0" w:color="auto"/>
              <w:right w:val="single" w:sz="4" w:space="0" w:color="auto"/>
            </w:tcBorders>
            <w:shd w:val="clear" w:color="auto" w:fill="auto"/>
            <w:noWrap/>
            <w:hideMark/>
          </w:tcPr>
          <w:p w14:paraId="5ED32241" w14:textId="77777777" w:rsidR="00463EBD" w:rsidRPr="003A4ED5" w:rsidRDefault="00463EBD" w:rsidP="000A0A06">
            <w:pPr>
              <w:ind w:right="284"/>
              <w:jc w:val="right"/>
              <w:rPr>
                <w:color w:val="000000"/>
                <w:sz w:val="20"/>
                <w:szCs w:val="20"/>
              </w:rPr>
            </w:pPr>
            <w:r w:rsidRPr="003A4ED5">
              <w:rPr>
                <w:color w:val="000000"/>
                <w:sz w:val="20"/>
                <w:szCs w:val="20"/>
              </w:rPr>
              <w:t>350</w:t>
            </w:r>
          </w:p>
        </w:tc>
        <w:tc>
          <w:tcPr>
            <w:tcW w:w="2233" w:type="dxa"/>
            <w:tcBorders>
              <w:top w:val="nil"/>
              <w:left w:val="nil"/>
              <w:bottom w:val="single" w:sz="4" w:space="0" w:color="auto"/>
              <w:right w:val="single" w:sz="4" w:space="0" w:color="auto"/>
            </w:tcBorders>
            <w:shd w:val="clear" w:color="auto" w:fill="auto"/>
            <w:noWrap/>
            <w:hideMark/>
          </w:tcPr>
          <w:p w14:paraId="64D60708" w14:textId="0E04EAC8" w:rsidR="00463EBD" w:rsidRPr="003A4ED5" w:rsidRDefault="008E782D" w:rsidP="000A0A06">
            <w:pPr>
              <w:jc w:val="left"/>
              <w:rPr>
                <w:color w:val="000000"/>
                <w:sz w:val="20"/>
                <w:szCs w:val="20"/>
              </w:rPr>
            </w:pPr>
            <w:r>
              <w:rPr>
                <w:color w:val="000000"/>
                <w:sz w:val="20"/>
                <w:szCs w:val="20"/>
              </w:rPr>
              <w:t>Cycle-</w:t>
            </w:r>
            <w:r w:rsidR="00463EBD" w:rsidRPr="003A4ED5">
              <w:rPr>
                <w:color w:val="000000"/>
                <w:sz w:val="20"/>
                <w:szCs w:val="20"/>
              </w:rPr>
              <w:t>rickshaw, bicycle on rent, auto</w:t>
            </w:r>
            <w:r>
              <w:rPr>
                <w:color w:val="000000"/>
                <w:sz w:val="20"/>
                <w:szCs w:val="20"/>
              </w:rPr>
              <w:t>-rickshaw</w:t>
            </w:r>
            <w:r w:rsidR="00463EBD" w:rsidRPr="003A4ED5">
              <w:rPr>
                <w:color w:val="000000"/>
                <w:sz w:val="20"/>
                <w:szCs w:val="20"/>
              </w:rPr>
              <w:t>, feeder shuttle, bus</w:t>
            </w:r>
          </w:p>
        </w:tc>
      </w:tr>
    </w:tbl>
    <w:p w14:paraId="6DD4E576" w14:textId="77777777" w:rsidR="00463EBD" w:rsidRPr="003A4ED5" w:rsidRDefault="00463EBD" w:rsidP="00463EBD">
      <w:pPr>
        <w:rPr>
          <w:i/>
          <w:sz w:val="20"/>
          <w:szCs w:val="20"/>
        </w:rPr>
      </w:pPr>
      <w:r w:rsidRPr="003A4ED5">
        <w:rPr>
          <w:i/>
          <w:sz w:val="20"/>
          <w:szCs w:val="20"/>
        </w:rPr>
        <w:t>Source: DMRC and Primary Survey, 2015.</w:t>
      </w:r>
    </w:p>
    <w:p w14:paraId="1B73CD44" w14:textId="77777777" w:rsidR="00463EBD" w:rsidRPr="00004C4B" w:rsidRDefault="00463EBD" w:rsidP="00463EBD">
      <w:pPr>
        <w:rPr>
          <w:sz w:val="22"/>
          <w:szCs w:val="22"/>
        </w:rPr>
      </w:pPr>
      <w:r w:rsidRPr="003A4ED5">
        <w:rPr>
          <w:i/>
          <w:sz w:val="20"/>
          <w:szCs w:val="20"/>
        </w:rPr>
        <w:t xml:space="preserve">* </w:t>
      </w:r>
      <w:proofErr w:type="gramStart"/>
      <w:r w:rsidRPr="003A4ED5">
        <w:rPr>
          <w:i/>
          <w:sz w:val="20"/>
          <w:szCs w:val="20"/>
        </w:rPr>
        <w:t>the</w:t>
      </w:r>
      <w:proofErr w:type="gramEnd"/>
      <w:r w:rsidRPr="003A4ED5">
        <w:rPr>
          <w:i/>
          <w:sz w:val="20"/>
          <w:szCs w:val="20"/>
        </w:rPr>
        <w:t xml:space="preserve"> densities in persons per hectare (PPH) are approximate and generalized for the entire vicinity; it does not reflect the mix of high and sparse density pockets separately that may be present around the same station</w:t>
      </w:r>
      <w:r w:rsidRPr="00004C4B">
        <w:rPr>
          <w:sz w:val="22"/>
          <w:szCs w:val="22"/>
        </w:rPr>
        <w:t>.</w:t>
      </w:r>
    </w:p>
    <w:p w14:paraId="44967BC0" w14:textId="77777777" w:rsidR="00463EBD" w:rsidRPr="008E782D" w:rsidRDefault="00463EBD" w:rsidP="00463EBD"/>
    <w:p w14:paraId="5E396F61" w14:textId="7842384C" w:rsidR="00463EBD" w:rsidRPr="008E782D" w:rsidRDefault="00703B6B" w:rsidP="00EE4765">
      <w:pPr>
        <w:ind w:firstLine="720"/>
      </w:pPr>
      <w:r>
        <w:t xml:space="preserve">The first two stations have similar ridership and both of these are located in areas that are the busiest </w:t>
      </w:r>
      <w:r w:rsidR="00EE4765">
        <w:t>activity</w:t>
      </w:r>
      <w:r>
        <w:t xml:space="preserve"> centres </w:t>
      </w:r>
      <w:r w:rsidR="00EE4765">
        <w:t xml:space="preserve">of </w:t>
      </w:r>
      <w:r>
        <w:t xml:space="preserve">the city. </w:t>
      </w:r>
      <w:r w:rsidR="00463EBD" w:rsidRPr="008E782D">
        <w:t xml:space="preserve">Rajiv </w:t>
      </w:r>
      <w:proofErr w:type="spellStart"/>
      <w:r w:rsidR="00463EBD" w:rsidRPr="008E782D">
        <w:t>Chowk</w:t>
      </w:r>
      <w:proofErr w:type="spellEnd"/>
      <w:r w:rsidR="00463EBD" w:rsidRPr="008E782D">
        <w:t xml:space="preserve"> is the busiest station of Delhi and falls in the CBD of the city with a </w:t>
      </w:r>
      <w:r w:rsidR="00EE4765">
        <w:t xml:space="preserve">planned </w:t>
      </w:r>
      <w:r w:rsidR="00463EBD" w:rsidRPr="008E782D">
        <w:t xml:space="preserve">commercial and public/semi-public (PSP) land use in its vicinity. </w:t>
      </w:r>
      <w:proofErr w:type="spellStart"/>
      <w:r w:rsidR="00463EBD" w:rsidRPr="008E782D">
        <w:t>Chandni</w:t>
      </w:r>
      <w:proofErr w:type="spellEnd"/>
      <w:r w:rsidR="00463EBD" w:rsidRPr="008E782D">
        <w:t xml:space="preserve"> </w:t>
      </w:r>
      <w:proofErr w:type="spellStart"/>
      <w:r w:rsidR="00463EBD" w:rsidRPr="008E782D">
        <w:t>Chowk</w:t>
      </w:r>
      <w:proofErr w:type="spellEnd"/>
      <w:r w:rsidR="00463EBD" w:rsidRPr="008E782D">
        <w:t xml:space="preserve"> station falls in a very dense </w:t>
      </w:r>
      <w:r w:rsidR="00EE4765">
        <w:t>(</w:t>
      </w:r>
      <w:r w:rsidR="00EE4765" w:rsidRPr="008E782D">
        <w:t>approximately 700 PPH</w:t>
      </w:r>
      <w:r w:rsidR="00EE4765">
        <w:t>)</w:t>
      </w:r>
      <w:r w:rsidR="00EE4765" w:rsidRPr="008E782D">
        <w:t xml:space="preserve"> </w:t>
      </w:r>
      <w:r w:rsidR="00463EBD" w:rsidRPr="008E782D">
        <w:t xml:space="preserve">and congested part of the old city having primarily commercial and mixed land uses. The area is an intense activity zone with its </w:t>
      </w:r>
      <w:r w:rsidR="00D37309">
        <w:t xml:space="preserve">dense network of </w:t>
      </w:r>
      <w:r w:rsidR="00463EBD" w:rsidRPr="008E782D">
        <w:t xml:space="preserve">narrow streets and by-lanes, and a rich variety of formal and informal retail and wholesale commercial activities. </w:t>
      </w:r>
    </w:p>
    <w:p w14:paraId="3BAB21CE" w14:textId="597B808E" w:rsidR="00463EBD" w:rsidRPr="008E782D" w:rsidRDefault="00EE4765" w:rsidP="00EE4765">
      <w:pPr>
        <w:ind w:firstLine="720"/>
      </w:pPr>
      <w:r>
        <w:t xml:space="preserve">The next two stations are located at the outskirts of the cities. </w:t>
      </w:r>
      <w:r w:rsidR="00463EBD" w:rsidRPr="008E782D">
        <w:t xml:space="preserve">Noida City Centre station is </w:t>
      </w:r>
      <w:r w:rsidR="00463C68" w:rsidRPr="008E782D">
        <w:t>a terminal station,</w:t>
      </w:r>
      <w:r w:rsidR="00D37309">
        <w:t xml:space="preserve"> </w:t>
      </w:r>
      <w:r w:rsidR="00463EBD" w:rsidRPr="008E782D">
        <w:t>and falls in the National Capital Region (NCR)</w:t>
      </w:r>
      <w:r w:rsidR="00D37309">
        <w:t xml:space="preserve"> of Delhi</w:t>
      </w:r>
      <w:r w:rsidR="00463C68">
        <w:t xml:space="preserve">. </w:t>
      </w:r>
      <w:r w:rsidR="00463EBD" w:rsidRPr="008E782D">
        <w:t xml:space="preserve">A lot of new residential development is in the vicinity of the station. Commercial development in the city centre has also commenced which is likely to increase the ridership manifolds. </w:t>
      </w:r>
      <w:proofErr w:type="spellStart"/>
      <w:r w:rsidR="00463EBD" w:rsidRPr="008E782D">
        <w:t>Chhatarpur</w:t>
      </w:r>
      <w:proofErr w:type="spellEnd"/>
      <w:r w:rsidR="00463EBD" w:rsidRPr="008E782D">
        <w:t xml:space="preserve"> station, although a mid-block station on the Delhi-Gurgaon line, is located at the periphery of Delhi.</w:t>
      </w:r>
    </w:p>
    <w:p w14:paraId="442FC0C2" w14:textId="54E9A761" w:rsidR="00463EBD" w:rsidRPr="008E782D" w:rsidRDefault="00EE4765" w:rsidP="00EE4765">
      <w:pPr>
        <w:ind w:firstLine="720"/>
      </w:pPr>
      <w:r>
        <w:t xml:space="preserve">The </w:t>
      </w:r>
      <w:r w:rsidR="00463C68">
        <w:t>las</w:t>
      </w:r>
      <w:r>
        <w:t xml:space="preserve">t two stations are </w:t>
      </w:r>
      <w:r w:rsidR="00A24D76">
        <w:t xml:space="preserve">both </w:t>
      </w:r>
      <w:r>
        <w:t>mid-block with lower ridership but are located in quite different contexts</w:t>
      </w:r>
      <w:r w:rsidR="00A24D76">
        <w:t xml:space="preserve"> and both have a </w:t>
      </w:r>
      <w:r w:rsidR="00A24D76" w:rsidRPr="008E782D">
        <w:t>‘bicycle on rent’ facility</w:t>
      </w:r>
      <w:r>
        <w:t xml:space="preserve">. </w:t>
      </w:r>
      <w:r w:rsidR="00A24D76">
        <w:t xml:space="preserve">At </w:t>
      </w:r>
      <w:r w:rsidR="00463EBD" w:rsidRPr="008E782D">
        <w:t>Vishvavidyalay</w:t>
      </w:r>
      <w:r w:rsidR="00A24D76">
        <w:t>, which</w:t>
      </w:r>
      <w:r w:rsidR="00463EBD" w:rsidRPr="008E782D">
        <w:t xml:space="preserve"> has Delhi University (institutional), and dense residential and mixed uses in its vicinity</w:t>
      </w:r>
      <w:r w:rsidR="00A24D76">
        <w:t xml:space="preserve">, the facility is very popular, whereas at </w:t>
      </w:r>
      <w:proofErr w:type="spellStart"/>
      <w:r w:rsidR="00A24D76" w:rsidRPr="008E782D">
        <w:t>Akshardham</w:t>
      </w:r>
      <w:proofErr w:type="spellEnd"/>
      <w:r w:rsidR="00A24D76" w:rsidRPr="008E782D">
        <w:t xml:space="preserve"> station </w:t>
      </w:r>
      <w:r w:rsidR="00A24D76">
        <w:t xml:space="preserve">which </w:t>
      </w:r>
      <w:r w:rsidR="00A24D76" w:rsidRPr="008E782D">
        <w:t xml:space="preserve">has a </w:t>
      </w:r>
      <w:r w:rsidR="00A24D76">
        <w:t xml:space="preserve">huge </w:t>
      </w:r>
      <w:r w:rsidR="00A24D76" w:rsidRPr="008E782D">
        <w:t>temple with sparse development on one side and dense low-income residential on the other side</w:t>
      </w:r>
      <w:r w:rsidR="00A24D76">
        <w:t>, the facility has no takers</w:t>
      </w:r>
      <w:r w:rsidR="00463EBD" w:rsidRPr="008E782D">
        <w:t xml:space="preserve">. </w:t>
      </w:r>
    </w:p>
    <w:p w14:paraId="77029CCD" w14:textId="77777777" w:rsidR="00463EBD" w:rsidRPr="008E782D" w:rsidRDefault="00463EBD" w:rsidP="00463EBD"/>
    <w:p w14:paraId="3A466BDE" w14:textId="77777777" w:rsidR="00463EBD" w:rsidRPr="00154000" w:rsidRDefault="00463EBD" w:rsidP="00463EBD"/>
    <w:p w14:paraId="3AA5062E" w14:textId="4F3C148A" w:rsidR="00463EBD" w:rsidRPr="00154000" w:rsidRDefault="00246634" w:rsidP="00463EBD">
      <w:pPr>
        <w:rPr>
          <w:b/>
        </w:rPr>
      </w:pPr>
      <w:r>
        <w:rPr>
          <w:b/>
        </w:rPr>
        <w:t>5</w:t>
      </w:r>
      <w:r w:rsidRPr="00154000">
        <w:rPr>
          <w:b/>
        </w:rPr>
        <w:t>.0 LAST MILE TRIP CHARACTERISTICS AND QUALITY</w:t>
      </w:r>
    </w:p>
    <w:p w14:paraId="27361B14" w14:textId="77777777" w:rsidR="00463EBD" w:rsidRPr="00154000" w:rsidRDefault="00463EBD" w:rsidP="00CD7719">
      <w:pPr>
        <w:widowControl w:val="0"/>
        <w:jc w:val="left"/>
      </w:pPr>
    </w:p>
    <w:p w14:paraId="61B9949F" w14:textId="170B222F" w:rsidR="00463EBD" w:rsidRPr="000176E5" w:rsidRDefault="000176E5" w:rsidP="000176E5">
      <w:pPr>
        <w:rPr>
          <w:lang w:val="en-US"/>
        </w:rPr>
      </w:pPr>
      <w:r w:rsidRPr="000176E5">
        <w:rPr>
          <w:lang w:val="en-US"/>
        </w:rPr>
        <w:t xml:space="preserve">The last mile trip characteristics </w:t>
      </w:r>
      <w:r w:rsidR="0083637D">
        <w:rPr>
          <w:lang w:val="en-US"/>
        </w:rPr>
        <w:t>parameter</w:t>
      </w:r>
      <w:r w:rsidR="00023B8F">
        <w:rPr>
          <w:lang w:val="en-US"/>
        </w:rPr>
        <w:t>s</w:t>
      </w:r>
      <w:r w:rsidR="0083637D">
        <w:rPr>
          <w:lang w:val="en-US"/>
        </w:rPr>
        <w:t xml:space="preserve"> </w:t>
      </w:r>
      <w:r w:rsidR="0083637D" w:rsidRPr="000176E5">
        <w:rPr>
          <w:lang w:val="en-US"/>
        </w:rPr>
        <w:t xml:space="preserve">identified through various </w:t>
      </w:r>
      <w:proofErr w:type="gramStart"/>
      <w:r w:rsidR="0083637D" w:rsidRPr="000176E5">
        <w:rPr>
          <w:lang w:val="en-US"/>
        </w:rPr>
        <w:t>literature</w:t>
      </w:r>
      <w:proofErr w:type="gramEnd"/>
      <w:r w:rsidR="0083637D" w:rsidRPr="000176E5">
        <w:rPr>
          <w:lang w:val="en-US"/>
        </w:rPr>
        <w:t xml:space="preserve"> (</w:t>
      </w:r>
      <w:proofErr w:type="spellStart"/>
      <w:r w:rsidR="0083637D" w:rsidRPr="000176E5">
        <w:rPr>
          <w:lang w:val="en-US"/>
        </w:rPr>
        <w:t>Tay</w:t>
      </w:r>
      <w:proofErr w:type="spellEnd"/>
      <w:r w:rsidR="0083637D" w:rsidRPr="000176E5">
        <w:rPr>
          <w:lang w:val="en-US"/>
        </w:rPr>
        <w:t xml:space="preserve">, 2012; </w:t>
      </w:r>
      <w:r w:rsidR="0083637D">
        <w:t>Nelson/</w:t>
      </w:r>
      <w:proofErr w:type="spellStart"/>
      <w:r w:rsidR="0083637D" w:rsidRPr="000176E5">
        <w:t>Nygaard</w:t>
      </w:r>
      <w:proofErr w:type="spellEnd"/>
      <w:r w:rsidR="0083637D" w:rsidRPr="000176E5">
        <w:t>, 2009</w:t>
      </w:r>
      <w:r w:rsidR="0083637D">
        <w:t xml:space="preserve">; </w:t>
      </w:r>
      <w:proofErr w:type="spellStart"/>
      <w:r w:rsidR="0083637D">
        <w:rPr>
          <w:lang w:val="en-US"/>
        </w:rPr>
        <w:t>Giovani</w:t>
      </w:r>
      <w:proofErr w:type="spellEnd"/>
      <w:r w:rsidR="0083637D">
        <w:rPr>
          <w:lang w:val="en-US"/>
        </w:rPr>
        <w:t xml:space="preserve">, </w:t>
      </w:r>
      <w:proofErr w:type="spellStart"/>
      <w:r w:rsidR="0083637D">
        <w:rPr>
          <w:lang w:val="en-US"/>
        </w:rPr>
        <w:t>Rietveldt</w:t>
      </w:r>
      <w:proofErr w:type="spellEnd"/>
      <w:r w:rsidR="0083637D">
        <w:rPr>
          <w:lang w:val="en-US"/>
        </w:rPr>
        <w:t xml:space="preserve">, </w:t>
      </w:r>
      <w:r w:rsidR="0083637D" w:rsidRPr="000176E5">
        <w:rPr>
          <w:lang w:val="en-US"/>
        </w:rPr>
        <w:t>2008</w:t>
      </w:r>
      <w:r w:rsidR="0083637D">
        <w:rPr>
          <w:lang w:val="en-US"/>
        </w:rPr>
        <w:t xml:space="preserve">; </w:t>
      </w:r>
      <w:r w:rsidR="0083637D" w:rsidRPr="000176E5">
        <w:rPr>
          <w:lang w:val="en-US"/>
        </w:rPr>
        <w:t>Iseki, Taylor, Miller, 2006)</w:t>
      </w:r>
      <w:r w:rsidR="0083637D">
        <w:rPr>
          <w:lang w:val="en-US"/>
        </w:rPr>
        <w:t xml:space="preserve"> and used in this study are</w:t>
      </w:r>
      <w:r w:rsidRPr="000176E5">
        <w:rPr>
          <w:lang w:val="en-US"/>
        </w:rPr>
        <w:t xml:space="preserve"> the number of options (modes) available and their frequency (or waiting times), </w:t>
      </w:r>
      <w:r w:rsidR="008D68AF">
        <w:rPr>
          <w:lang w:val="en-US"/>
        </w:rPr>
        <w:t xml:space="preserve">distance, </w:t>
      </w:r>
      <w:r w:rsidRPr="000176E5">
        <w:rPr>
          <w:lang w:val="en-US"/>
        </w:rPr>
        <w:t xml:space="preserve">cost and time incurred, and other </w:t>
      </w:r>
      <w:r w:rsidR="00246634">
        <w:rPr>
          <w:lang w:val="en-US"/>
        </w:rPr>
        <w:t xml:space="preserve">qualitative </w:t>
      </w:r>
      <w:r w:rsidRPr="000176E5">
        <w:rPr>
          <w:lang w:val="en-US"/>
        </w:rPr>
        <w:t xml:space="preserve">aspects such as safety, comfort, </w:t>
      </w:r>
      <w:r>
        <w:rPr>
          <w:lang w:val="en-US"/>
        </w:rPr>
        <w:t xml:space="preserve">convenience and availability of </w:t>
      </w:r>
      <w:r w:rsidRPr="000176E5">
        <w:rPr>
          <w:lang w:val="en-US"/>
        </w:rPr>
        <w:t>infrastructure</w:t>
      </w:r>
      <w:r w:rsidR="0083637D">
        <w:rPr>
          <w:lang w:val="en-US"/>
        </w:rPr>
        <w:t xml:space="preserve">. </w:t>
      </w:r>
    </w:p>
    <w:p w14:paraId="2787871B" w14:textId="77777777" w:rsidR="00463EBD" w:rsidRDefault="00463EBD" w:rsidP="00CD7719">
      <w:pPr>
        <w:widowControl w:val="0"/>
        <w:jc w:val="left"/>
      </w:pPr>
    </w:p>
    <w:p w14:paraId="42E22769" w14:textId="617D17E9" w:rsidR="00463EBD" w:rsidRPr="00246634" w:rsidRDefault="00246634" w:rsidP="00463EBD">
      <w:pPr>
        <w:rPr>
          <w:b/>
        </w:rPr>
      </w:pPr>
      <w:r>
        <w:rPr>
          <w:b/>
        </w:rPr>
        <w:t>5</w:t>
      </w:r>
      <w:r w:rsidRPr="00246634">
        <w:rPr>
          <w:b/>
        </w:rPr>
        <w:t xml:space="preserve">.1 </w:t>
      </w:r>
      <w:r w:rsidR="00023B8F">
        <w:rPr>
          <w:b/>
        </w:rPr>
        <w:t>Last Mile</w:t>
      </w:r>
      <w:r w:rsidR="00023B8F" w:rsidRPr="00246634">
        <w:rPr>
          <w:b/>
        </w:rPr>
        <w:t xml:space="preserve"> </w:t>
      </w:r>
      <w:r w:rsidR="00023B8F">
        <w:rPr>
          <w:b/>
        </w:rPr>
        <w:t xml:space="preserve">Trip </w:t>
      </w:r>
      <w:r w:rsidR="00463EBD" w:rsidRPr="00246634">
        <w:rPr>
          <w:b/>
        </w:rPr>
        <w:t xml:space="preserve">Modes </w:t>
      </w:r>
    </w:p>
    <w:p w14:paraId="790EADCC" w14:textId="77777777" w:rsidR="00463EBD" w:rsidRPr="00867631" w:rsidRDefault="00463EBD" w:rsidP="00463EBD"/>
    <w:p w14:paraId="432E7654" w14:textId="311A18DA" w:rsidR="00463EBD" w:rsidRPr="00867631" w:rsidRDefault="00463EBD" w:rsidP="00463EBD">
      <w:r w:rsidRPr="00867631">
        <w:t>The use of NMT for covering the first and las</w:t>
      </w:r>
      <w:r w:rsidR="008D68AF">
        <w:t>t mile, as indicated in Fig 5</w:t>
      </w:r>
      <w:r w:rsidR="00867631">
        <w:t>.1</w:t>
      </w:r>
      <w:r w:rsidRPr="00867631">
        <w:t>,</w:t>
      </w:r>
      <w:r w:rsidR="00867631">
        <w:t xml:space="preserve"> </w:t>
      </w:r>
      <w:r w:rsidRPr="00867631">
        <w:t xml:space="preserve">is </w:t>
      </w:r>
      <w:r w:rsidR="008D68AF">
        <w:t>more than 50%</w:t>
      </w:r>
      <w:r w:rsidRPr="00867631">
        <w:t xml:space="preserve"> for all stations with the exception of Noida and </w:t>
      </w:r>
      <w:proofErr w:type="spellStart"/>
      <w:r w:rsidRPr="00867631">
        <w:t>Chhatarpur</w:t>
      </w:r>
      <w:proofErr w:type="spellEnd"/>
      <w:r w:rsidRPr="00867631">
        <w:t xml:space="preserve">. Better walkability conditions combined with shorter last mile trip lengths and non-availability of other NMT modes gives Rajiv </w:t>
      </w:r>
      <w:proofErr w:type="spellStart"/>
      <w:r w:rsidRPr="00867631">
        <w:t>Chowk</w:t>
      </w:r>
      <w:proofErr w:type="spellEnd"/>
      <w:r w:rsidRPr="00867631">
        <w:t xml:space="preserve"> the highest (87%) share of walk trips. </w:t>
      </w:r>
    </w:p>
    <w:p w14:paraId="687E3ADF" w14:textId="77777777" w:rsidR="00463EBD" w:rsidRPr="00867631" w:rsidRDefault="00463EBD" w:rsidP="00463EBD">
      <w:pPr>
        <w:ind w:left="284"/>
      </w:pPr>
    </w:p>
    <w:tbl>
      <w:tblPr>
        <w:tblStyle w:val="TableGrid"/>
        <w:tblW w:w="8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40"/>
        <w:gridCol w:w="1347"/>
        <w:gridCol w:w="1377"/>
        <w:gridCol w:w="1401"/>
        <w:gridCol w:w="1413"/>
        <w:gridCol w:w="1405"/>
      </w:tblGrid>
      <w:tr w:rsidR="00463EBD" w:rsidRPr="00661820" w14:paraId="6B0F0FDD" w14:textId="77777777" w:rsidTr="000A0A06">
        <w:trPr>
          <w:jc w:val="center"/>
        </w:trPr>
        <w:tc>
          <w:tcPr>
            <w:tcW w:w="1378" w:type="dxa"/>
          </w:tcPr>
          <w:p w14:paraId="4DA56C5B" w14:textId="77777777" w:rsidR="00463EBD" w:rsidRPr="00661820" w:rsidRDefault="00463EBD" w:rsidP="000A0A06">
            <w:pPr>
              <w:rPr>
                <w:b/>
                <w:sz w:val="20"/>
                <w:szCs w:val="20"/>
              </w:rPr>
            </w:pPr>
            <w:r w:rsidRPr="00661820">
              <w:rPr>
                <w:b/>
                <w:sz w:val="20"/>
                <w:szCs w:val="20"/>
              </w:rPr>
              <w:t xml:space="preserve">Rajiv </w:t>
            </w:r>
            <w:proofErr w:type="spellStart"/>
            <w:r w:rsidRPr="00661820">
              <w:rPr>
                <w:b/>
                <w:sz w:val="20"/>
                <w:szCs w:val="20"/>
              </w:rPr>
              <w:t>Chowk</w:t>
            </w:r>
            <w:proofErr w:type="spellEnd"/>
          </w:p>
        </w:tc>
        <w:tc>
          <w:tcPr>
            <w:tcW w:w="1377" w:type="dxa"/>
          </w:tcPr>
          <w:p w14:paraId="5E3AB5C0" w14:textId="77777777" w:rsidR="00463EBD" w:rsidRPr="00661820" w:rsidRDefault="00463EBD" w:rsidP="000A0A06">
            <w:pPr>
              <w:rPr>
                <w:b/>
                <w:sz w:val="20"/>
                <w:szCs w:val="20"/>
              </w:rPr>
            </w:pPr>
            <w:r>
              <w:rPr>
                <w:b/>
                <w:sz w:val="20"/>
                <w:szCs w:val="20"/>
              </w:rPr>
              <w:t xml:space="preserve"> </w:t>
            </w:r>
            <w:proofErr w:type="spellStart"/>
            <w:r w:rsidRPr="00661820">
              <w:rPr>
                <w:b/>
                <w:sz w:val="20"/>
                <w:szCs w:val="20"/>
              </w:rPr>
              <w:t>Chandni</w:t>
            </w:r>
            <w:proofErr w:type="spellEnd"/>
            <w:r w:rsidRPr="00661820">
              <w:rPr>
                <w:b/>
                <w:sz w:val="20"/>
                <w:szCs w:val="20"/>
              </w:rPr>
              <w:t xml:space="preserve"> </w:t>
            </w:r>
            <w:proofErr w:type="spellStart"/>
            <w:r w:rsidRPr="00661820">
              <w:rPr>
                <w:b/>
                <w:sz w:val="20"/>
                <w:szCs w:val="20"/>
              </w:rPr>
              <w:t>Chowk</w:t>
            </w:r>
            <w:proofErr w:type="spellEnd"/>
          </w:p>
        </w:tc>
        <w:tc>
          <w:tcPr>
            <w:tcW w:w="1417" w:type="dxa"/>
          </w:tcPr>
          <w:p w14:paraId="0D5B66A9" w14:textId="77777777" w:rsidR="00463EBD" w:rsidRPr="00661820" w:rsidRDefault="00463EBD" w:rsidP="000A0A06">
            <w:pPr>
              <w:jc w:val="left"/>
              <w:rPr>
                <w:b/>
                <w:sz w:val="20"/>
                <w:szCs w:val="20"/>
              </w:rPr>
            </w:pPr>
            <w:r w:rsidRPr="00661820">
              <w:rPr>
                <w:b/>
                <w:sz w:val="20"/>
                <w:szCs w:val="20"/>
              </w:rPr>
              <w:t>Noida City Centre</w:t>
            </w:r>
          </w:p>
        </w:tc>
        <w:tc>
          <w:tcPr>
            <w:tcW w:w="1418" w:type="dxa"/>
          </w:tcPr>
          <w:p w14:paraId="067E280E" w14:textId="77777777" w:rsidR="00463EBD" w:rsidRPr="00661820" w:rsidRDefault="00463EBD" w:rsidP="000A0A06">
            <w:pPr>
              <w:rPr>
                <w:b/>
                <w:sz w:val="20"/>
                <w:szCs w:val="20"/>
              </w:rPr>
            </w:pPr>
            <w:proofErr w:type="spellStart"/>
            <w:r w:rsidRPr="00661820">
              <w:rPr>
                <w:b/>
                <w:sz w:val="20"/>
                <w:szCs w:val="20"/>
              </w:rPr>
              <w:t>Chhatarpur</w:t>
            </w:r>
            <w:proofErr w:type="spellEnd"/>
          </w:p>
        </w:tc>
        <w:tc>
          <w:tcPr>
            <w:tcW w:w="1276" w:type="dxa"/>
          </w:tcPr>
          <w:p w14:paraId="30D35F94" w14:textId="77777777" w:rsidR="00463EBD" w:rsidRPr="00661820" w:rsidRDefault="00463EBD" w:rsidP="000A0A06">
            <w:pPr>
              <w:rPr>
                <w:b/>
                <w:sz w:val="20"/>
                <w:szCs w:val="20"/>
              </w:rPr>
            </w:pPr>
            <w:proofErr w:type="spellStart"/>
            <w:r w:rsidRPr="00661820">
              <w:rPr>
                <w:b/>
                <w:sz w:val="20"/>
                <w:szCs w:val="20"/>
              </w:rPr>
              <w:t>Vishwavidyalay</w:t>
            </w:r>
            <w:proofErr w:type="spellEnd"/>
            <w:r w:rsidRPr="00661820">
              <w:rPr>
                <w:b/>
                <w:sz w:val="20"/>
                <w:szCs w:val="20"/>
              </w:rPr>
              <w:t xml:space="preserve">      </w:t>
            </w:r>
          </w:p>
        </w:tc>
        <w:tc>
          <w:tcPr>
            <w:tcW w:w="1417" w:type="dxa"/>
          </w:tcPr>
          <w:p w14:paraId="380676F9" w14:textId="77777777" w:rsidR="00463EBD" w:rsidRPr="00661820" w:rsidRDefault="00463EBD" w:rsidP="000A0A06">
            <w:pPr>
              <w:rPr>
                <w:b/>
                <w:sz w:val="20"/>
                <w:szCs w:val="20"/>
              </w:rPr>
            </w:pPr>
            <w:r>
              <w:rPr>
                <w:b/>
                <w:sz w:val="20"/>
                <w:szCs w:val="20"/>
              </w:rPr>
              <w:t xml:space="preserve">  </w:t>
            </w:r>
            <w:proofErr w:type="spellStart"/>
            <w:r w:rsidRPr="00661820">
              <w:rPr>
                <w:b/>
                <w:sz w:val="20"/>
                <w:szCs w:val="20"/>
              </w:rPr>
              <w:t>Akshardham</w:t>
            </w:r>
            <w:proofErr w:type="spellEnd"/>
          </w:p>
        </w:tc>
      </w:tr>
    </w:tbl>
    <w:p w14:paraId="3BE07038" w14:textId="77777777" w:rsidR="00463EBD" w:rsidRDefault="00463EBD" w:rsidP="00463EBD">
      <w:pPr>
        <w:ind w:left="284"/>
        <w:jc w:val="center"/>
        <w:rPr>
          <w:b/>
          <w:sz w:val="22"/>
          <w:szCs w:val="22"/>
        </w:rPr>
      </w:pPr>
      <w:r>
        <w:rPr>
          <w:b/>
          <w:noProof/>
          <w:sz w:val="22"/>
          <w:szCs w:val="22"/>
          <w:lang w:val="en-US"/>
        </w:rPr>
        <w:drawing>
          <wp:inline distT="0" distB="0" distL="0" distR="0" wp14:anchorId="32B1339A" wp14:editId="5315741C">
            <wp:extent cx="5303520" cy="1261872"/>
            <wp:effectExtent l="0" t="0" r="508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ng"/>
                    <pic:cNvPicPr/>
                  </pic:nvPicPr>
                  <pic:blipFill>
                    <a:blip r:embed="rId8">
                      <a:extLst>
                        <a:ext uri="{28A0092B-C50C-407E-A947-70E740481C1C}">
                          <a14:useLocalDpi xmlns:a14="http://schemas.microsoft.com/office/drawing/2010/main" val="0"/>
                        </a:ext>
                      </a:extLst>
                    </a:blip>
                    <a:stretch>
                      <a:fillRect/>
                    </a:stretch>
                  </pic:blipFill>
                  <pic:spPr>
                    <a:xfrm>
                      <a:off x="0" y="0"/>
                      <a:ext cx="5303520" cy="1261872"/>
                    </a:xfrm>
                    <a:prstGeom prst="rect">
                      <a:avLst/>
                    </a:prstGeom>
                  </pic:spPr>
                </pic:pic>
              </a:graphicData>
            </a:graphic>
          </wp:inline>
        </w:drawing>
      </w:r>
    </w:p>
    <w:p w14:paraId="2C3DF394" w14:textId="4B3DE0B9" w:rsidR="00463EBD" w:rsidRPr="00661820" w:rsidRDefault="008D68AF" w:rsidP="00463EBD">
      <w:pPr>
        <w:ind w:left="284"/>
        <w:jc w:val="center"/>
        <w:rPr>
          <w:b/>
          <w:sz w:val="22"/>
          <w:szCs w:val="22"/>
        </w:rPr>
      </w:pPr>
      <w:r>
        <w:rPr>
          <w:b/>
          <w:sz w:val="22"/>
          <w:szCs w:val="22"/>
        </w:rPr>
        <w:t>Fig 5</w:t>
      </w:r>
      <w:r w:rsidR="00463EBD" w:rsidRPr="00661820">
        <w:rPr>
          <w:b/>
          <w:sz w:val="22"/>
          <w:szCs w:val="22"/>
        </w:rPr>
        <w:t>.1 Last Mile modes opted by commuters at various stations</w:t>
      </w:r>
    </w:p>
    <w:p w14:paraId="5FB6496F" w14:textId="77777777" w:rsidR="00463EBD" w:rsidRPr="00867631" w:rsidRDefault="00463EBD" w:rsidP="00463EBD">
      <w:pPr>
        <w:ind w:left="284"/>
      </w:pPr>
    </w:p>
    <w:p w14:paraId="6F2C0AE7" w14:textId="7DD4013F" w:rsidR="00463EBD" w:rsidRPr="00867631" w:rsidRDefault="004C533C" w:rsidP="00123BF8">
      <w:r w:rsidRPr="00867631">
        <w:t xml:space="preserve">At </w:t>
      </w:r>
      <w:proofErr w:type="spellStart"/>
      <w:r w:rsidRPr="00867631">
        <w:t>Vishw</w:t>
      </w:r>
      <w:r w:rsidR="00463EBD" w:rsidRPr="00867631">
        <w:t>avidyalay</w:t>
      </w:r>
      <w:proofErr w:type="spellEnd"/>
      <w:r w:rsidR="00463EBD" w:rsidRPr="00867631">
        <w:t xml:space="preserve">, where there is ‘bicycle on rent’ facility available, a significant percentage (13%) of commuters are using this mode for their last mile trip. This indicates that availability of a facility does impact user choices. However, contextual factors </w:t>
      </w:r>
      <w:r w:rsidR="00377413">
        <w:t xml:space="preserve">such as adjoining </w:t>
      </w:r>
      <w:proofErr w:type="spellStart"/>
      <w:r w:rsidR="00377413">
        <w:t>landuse</w:t>
      </w:r>
      <w:proofErr w:type="spellEnd"/>
      <w:r w:rsidR="00377413">
        <w:t xml:space="preserve"> and user profile also determine the usage of</w:t>
      </w:r>
      <w:r w:rsidR="00463EBD" w:rsidRPr="00867631">
        <w:t xml:space="preserve"> a facility. </w:t>
      </w:r>
      <w:proofErr w:type="gramStart"/>
      <w:r w:rsidR="00463EBD" w:rsidRPr="00867631">
        <w:t xml:space="preserve">The presence of a significant proportion of </w:t>
      </w:r>
      <w:r w:rsidR="00011BE0" w:rsidRPr="00867631">
        <w:t>university</w:t>
      </w:r>
      <w:r w:rsidR="00463EBD" w:rsidRPr="00867631">
        <w:t>-going and young age-group commuter</w:t>
      </w:r>
      <w:r w:rsidR="00011BE0" w:rsidRPr="00867631">
        <w:t>s</w:t>
      </w:r>
      <w:r w:rsidR="00463EBD" w:rsidRPr="00867631">
        <w:t xml:space="preserve"> at this station account for the cycle’s popularity.</w:t>
      </w:r>
      <w:proofErr w:type="gramEnd"/>
      <w:r w:rsidR="00463EBD" w:rsidRPr="00867631">
        <w:t xml:space="preserve"> </w:t>
      </w:r>
      <w:r w:rsidR="00377413">
        <w:t>I</w:t>
      </w:r>
      <w:r w:rsidR="00463EBD" w:rsidRPr="00867631">
        <w:t xml:space="preserve">n case of </w:t>
      </w:r>
      <w:proofErr w:type="spellStart"/>
      <w:r w:rsidR="00463EBD" w:rsidRPr="00867631">
        <w:t>Akshardham</w:t>
      </w:r>
      <w:proofErr w:type="spellEnd"/>
      <w:r w:rsidR="00463EBD" w:rsidRPr="00867631">
        <w:t xml:space="preserve">, which has a similar and better quality ‘bicycle on rent’ facility it has no takers, as the area is largely visited by tourists (generally families) for recreational and religious purposes, who prefer cycle-rickshaws to cycling. </w:t>
      </w:r>
    </w:p>
    <w:p w14:paraId="07AB291F" w14:textId="77777777" w:rsidR="00463EBD" w:rsidRPr="00867631" w:rsidRDefault="00463EBD" w:rsidP="00463EBD"/>
    <w:p w14:paraId="5B6FB94C" w14:textId="52E26026" w:rsidR="00463EBD" w:rsidRPr="00CC1A72" w:rsidRDefault="00CC1A72" w:rsidP="00463EBD">
      <w:pPr>
        <w:rPr>
          <w:b/>
        </w:rPr>
      </w:pPr>
      <w:r w:rsidRPr="00CC1A72">
        <w:rPr>
          <w:b/>
        </w:rPr>
        <w:t>5.2</w:t>
      </w:r>
      <w:r w:rsidR="00463EBD" w:rsidRPr="00CC1A72">
        <w:rPr>
          <w:b/>
        </w:rPr>
        <w:t xml:space="preserve"> Average Trip Length</w:t>
      </w:r>
    </w:p>
    <w:p w14:paraId="682475BE" w14:textId="77777777" w:rsidR="00463EBD" w:rsidRPr="00867631" w:rsidRDefault="00463EBD" w:rsidP="00463EBD"/>
    <w:p w14:paraId="59C5F1C2" w14:textId="4A4CABD5" w:rsidR="00463EBD" w:rsidRPr="00867631" w:rsidRDefault="00691FEA" w:rsidP="00463EBD">
      <w:r>
        <w:t>Table 5.1</w:t>
      </w:r>
      <w:r w:rsidR="00463EBD" w:rsidRPr="00867631">
        <w:t xml:space="preserve"> gives the average trip lengths of the different sections of the trip including the transit main haul, the first and the last mile and for the entire trip for the different stations.</w:t>
      </w:r>
      <w:r w:rsidR="00123BF8">
        <w:t xml:space="preserve"> The first and the last mile together con</w:t>
      </w:r>
      <w:r>
        <w:t>stitute approximately 13–23 per cent</w:t>
      </w:r>
      <w:r w:rsidR="00123BF8">
        <w:t xml:space="preserve"> of the entire journey distance.</w:t>
      </w:r>
    </w:p>
    <w:p w14:paraId="19D8835C" w14:textId="77777777" w:rsidR="00463EBD" w:rsidRPr="00867631" w:rsidRDefault="00463EBD" w:rsidP="00463EBD"/>
    <w:p w14:paraId="223418C5" w14:textId="26019C9E" w:rsidR="00463EBD" w:rsidRPr="00661820" w:rsidRDefault="00691FEA" w:rsidP="00463EBD">
      <w:pPr>
        <w:jc w:val="center"/>
        <w:rPr>
          <w:b/>
          <w:sz w:val="22"/>
          <w:szCs w:val="22"/>
        </w:rPr>
      </w:pPr>
      <w:r>
        <w:rPr>
          <w:b/>
          <w:sz w:val="22"/>
          <w:szCs w:val="22"/>
        </w:rPr>
        <w:t>Table 5.1</w:t>
      </w:r>
      <w:r w:rsidR="00463EBD" w:rsidRPr="00661820">
        <w:rPr>
          <w:b/>
          <w:sz w:val="22"/>
          <w:szCs w:val="22"/>
        </w:rPr>
        <w:t xml:space="preserve"> Average Trip </w:t>
      </w:r>
      <w:proofErr w:type="gramStart"/>
      <w:r w:rsidR="00463EBD" w:rsidRPr="00661820">
        <w:rPr>
          <w:b/>
          <w:sz w:val="22"/>
          <w:szCs w:val="22"/>
        </w:rPr>
        <w:t>Length</w:t>
      </w:r>
      <w:proofErr w:type="gramEnd"/>
    </w:p>
    <w:tbl>
      <w:tblPr>
        <w:tblW w:w="829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36"/>
        <w:gridCol w:w="709"/>
        <w:gridCol w:w="709"/>
        <w:gridCol w:w="709"/>
        <w:gridCol w:w="708"/>
        <w:gridCol w:w="709"/>
        <w:gridCol w:w="709"/>
        <w:gridCol w:w="709"/>
        <w:gridCol w:w="850"/>
        <w:gridCol w:w="851"/>
      </w:tblGrid>
      <w:tr w:rsidR="00463EBD" w:rsidRPr="003A4ED5" w14:paraId="15A1017B" w14:textId="77777777" w:rsidTr="000A0A06">
        <w:trPr>
          <w:trHeight w:val="300"/>
          <w:jc w:val="center"/>
        </w:trPr>
        <w:tc>
          <w:tcPr>
            <w:tcW w:w="1636" w:type="dxa"/>
            <w:vMerge w:val="restart"/>
            <w:shd w:val="clear" w:color="auto" w:fill="auto"/>
            <w:noWrap/>
            <w:hideMark/>
          </w:tcPr>
          <w:p w14:paraId="43A707D2" w14:textId="77777777" w:rsidR="00463EBD" w:rsidRPr="003A4ED5" w:rsidRDefault="00463EBD" w:rsidP="000A0A06">
            <w:pPr>
              <w:jc w:val="left"/>
              <w:rPr>
                <w:b/>
                <w:color w:val="000000"/>
                <w:sz w:val="20"/>
                <w:szCs w:val="20"/>
              </w:rPr>
            </w:pPr>
            <w:r w:rsidRPr="003A4ED5">
              <w:rPr>
                <w:b/>
                <w:color w:val="000000"/>
                <w:sz w:val="20"/>
                <w:szCs w:val="20"/>
              </w:rPr>
              <w:t> Station Name</w:t>
            </w:r>
          </w:p>
        </w:tc>
        <w:tc>
          <w:tcPr>
            <w:tcW w:w="1418" w:type="dxa"/>
            <w:gridSpan w:val="2"/>
            <w:shd w:val="clear" w:color="auto" w:fill="auto"/>
            <w:noWrap/>
            <w:hideMark/>
          </w:tcPr>
          <w:p w14:paraId="79E3DD5A" w14:textId="77777777" w:rsidR="00463EBD" w:rsidRPr="003A4ED5" w:rsidRDefault="00463EBD" w:rsidP="000A0A06">
            <w:pPr>
              <w:jc w:val="left"/>
              <w:rPr>
                <w:b/>
                <w:color w:val="000000"/>
                <w:sz w:val="20"/>
                <w:szCs w:val="20"/>
              </w:rPr>
            </w:pPr>
            <w:r w:rsidRPr="003A4ED5">
              <w:rPr>
                <w:b/>
                <w:color w:val="000000"/>
                <w:sz w:val="20"/>
                <w:szCs w:val="20"/>
              </w:rPr>
              <w:t>Main Haul</w:t>
            </w:r>
          </w:p>
        </w:tc>
        <w:tc>
          <w:tcPr>
            <w:tcW w:w="1417" w:type="dxa"/>
            <w:gridSpan w:val="2"/>
            <w:shd w:val="clear" w:color="auto" w:fill="auto"/>
            <w:noWrap/>
            <w:hideMark/>
          </w:tcPr>
          <w:p w14:paraId="35AFAC46" w14:textId="77777777" w:rsidR="00463EBD" w:rsidRPr="003A4ED5" w:rsidRDefault="00463EBD" w:rsidP="000A0A06">
            <w:pPr>
              <w:jc w:val="left"/>
              <w:rPr>
                <w:b/>
                <w:color w:val="000000"/>
                <w:sz w:val="20"/>
                <w:szCs w:val="20"/>
              </w:rPr>
            </w:pPr>
            <w:r w:rsidRPr="003A4ED5">
              <w:rPr>
                <w:b/>
                <w:color w:val="000000"/>
                <w:sz w:val="20"/>
                <w:szCs w:val="20"/>
              </w:rPr>
              <w:t>First mile</w:t>
            </w:r>
          </w:p>
        </w:tc>
        <w:tc>
          <w:tcPr>
            <w:tcW w:w="1418" w:type="dxa"/>
            <w:gridSpan w:val="2"/>
            <w:shd w:val="clear" w:color="auto" w:fill="auto"/>
            <w:noWrap/>
            <w:hideMark/>
          </w:tcPr>
          <w:p w14:paraId="2F70C688" w14:textId="77777777" w:rsidR="00463EBD" w:rsidRPr="003A4ED5" w:rsidRDefault="00463EBD" w:rsidP="000A0A06">
            <w:pPr>
              <w:jc w:val="left"/>
              <w:rPr>
                <w:b/>
                <w:color w:val="000000"/>
                <w:sz w:val="20"/>
                <w:szCs w:val="20"/>
              </w:rPr>
            </w:pPr>
            <w:r w:rsidRPr="003A4ED5">
              <w:rPr>
                <w:b/>
                <w:color w:val="000000"/>
                <w:sz w:val="20"/>
                <w:szCs w:val="20"/>
              </w:rPr>
              <w:t>Last mile</w:t>
            </w:r>
          </w:p>
        </w:tc>
        <w:tc>
          <w:tcPr>
            <w:tcW w:w="1559" w:type="dxa"/>
            <w:gridSpan w:val="2"/>
            <w:shd w:val="clear" w:color="auto" w:fill="auto"/>
            <w:noWrap/>
            <w:hideMark/>
          </w:tcPr>
          <w:p w14:paraId="147D25BA" w14:textId="77777777" w:rsidR="00463EBD" w:rsidRPr="003A4ED5" w:rsidRDefault="00463EBD" w:rsidP="000A0A06">
            <w:pPr>
              <w:jc w:val="left"/>
              <w:rPr>
                <w:b/>
                <w:color w:val="000000"/>
                <w:sz w:val="20"/>
                <w:szCs w:val="20"/>
              </w:rPr>
            </w:pPr>
            <w:r w:rsidRPr="003A4ED5">
              <w:rPr>
                <w:b/>
                <w:color w:val="000000"/>
                <w:sz w:val="20"/>
                <w:szCs w:val="20"/>
              </w:rPr>
              <w:t>First &amp; Last mile</w:t>
            </w:r>
          </w:p>
        </w:tc>
        <w:tc>
          <w:tcPr>
            <w:tcW w:w="851" w:type="dxa"/>
            <w:shd w:val="clear" w:color="auto" w:fill="auto"/>
            <w:noWrap/>
            <w:hideMark/>
          </w:tcPr>
          <w:p w14:paraId="201D0DA4" w14:textId="77777777" w:rsidR="00463EBD" w:rsidRPr="003A4ED5" w:rsidRDefault="00463EBD" w:rsidP="000A0A06">
            <w:pPr>
              <w:jc w:val="left"/>
              <w:rPr>
                <w:b/>
                <w:color w:val="000000"/>
                <w:sz w:val="20"/>
                <w:szCs w:val="20"/>
              </w:rPr>
            </w:pPr>
            <w:r w:rsidRPr="003A4ED5">
              <w:rPr>
                <w:b/>
                <w:color w:val="000000"/>
                <w:sz w:val="20"/>
                <w:szCs w:val="20"/>
              </w:rPr>
              <w:t>Total trip</w:t>
            </w:r>
          </w:p>
        </w:tc>
      </w:tr>
      <w:tr w:rsidR="00463EBD" w:rsidRPr="003A4ED5" w14:paraId="7E89C101" w14:textId="77777777" w:rsidTr="000A0A06">
        <w:trPr>
          <w:trHeight w:val="300"/>
          <w:jc w:val="center"/>
        </w:trPr>
        <w:tc>
          <w:tcPr>
            <w:tcW w:w="1636" w:type="dxa"/>
            <w:vMerge/>
            <w:shd w:val="clear" w:color="auto" w:fill="auto"/>
            <w:noWrap/>
            <w:hideMark/>
          </w:tcPr>
          <w:p w14:paraId="5CC2884D" w14:textId="77777777" w:rsidR="00463EBD" w:rsidRPr="003A4ED5" w:rsidRDefault="00463EBD" w:rsidP="000A0A06">
            <w:pPr>
              <w:jc w:val="left"/>
              <w:rPr>
                <w:color w:val="000000"/>
                <w:sz w:val="20"/>
                <w:szCs w:val="20"/>
              </w:rPr>
            </w:pPr>
          </w:p>
        </w:tc>
        <w:tc>
          <w:tcPr>
            <w:tcW w:w="709" w:type="dxa"/>
            <w:shd w:val="clear" w:color="auto" w:fill="auto"/>
            <w:noWrap/>
            <w:hideMark/>
          </w:tcPr>
          <w:p w14:paraId="2DF3C9CA" w14:textId="77777777" w:rsidR="00463EBD" w:rsidRPr="003A4ED5" w:rsidRDefault="00463EBD" w:rsidP="000A0A06">
            <w:pPr>
              <w:jc w:val="left"/>
              <w:rPr>
                <w:color w:val="000000"/>
                <w:sz w:val="20"/>
                <w:szCs w:val="20"/>
              </w:rPr>
            </w:pPr>
            <w:proofErr w:type="gramStart"/>
            <w:r w:rsidRPr="003A4ED5">
              <w:rPr>
                <w:color w:val="000000"/>
                <w:sz w:val="20"/>
                <w:szCs w:val="20"/>
              </w:rPr>
              <w:t>in</w:t>
            </w:r>
            <w:proofErr w:type="gramEnd"/>
            <w:r w:rsidRPr="003A4ED5">
              <w:rPr>
                <w:color w:val="000000"/>
                <w:sz w:val="20"/>
                <w:szCs w:val="20"/>
              </w:rPr>
              <w:t xml:space="preserve"> </w:t>
            </w:r>
            <w:proofErr w:type="spellStart"/>
            <w:r w:rsidRPr="003A4ED5">
              <w:rPr>
                <w:color w:val="000000"/>
                <w:sz w:val="20"/>
                <w:szCs w:val="20"/>
              </w:rPr>
              <w:t>kms</w:t>
            </w:r>
            <w:proofErr w:type="spellEnd"/>
          </w:p>
        </w:tc>
        <w:tc>
          <w:tcPr>
            <w:tcW w:w="709" w:type="dxa"/>
            <w:shd w:val="clear" w:color="auto" w:fill="auto"/>
            <w:noWrap/>
            <w:hideMark/>
          </w:tcPr>
          <w:p w14:paraId="7C911FB9" w14:textId="77777777" w:rsidR="00463EBD" w:rsidRPr="003A4ED5" w:rsidRDefault="00463EBD" w:rsidP="000A0A06">
            <w:pPr>
              <w:jc w:val="left"/>
              <w:rPr>
                <w:color w:val="000000"/>
                <w:sz w:val="20"/>
                <w:szCs w:val="20"/>
              </w:rPr>
            </w:pPr>
            <w:proofErr w:type="gramStart"/>
            <w:r w:rsidRPr="003A4ED5">
              <w:rPr>
                <w:color w:val="000000"/>
                <w:sz w:val="20"/>
                <w:szCs w:val="20"/>
              </w:rPr>
              <w:t>in</w:t>
            </w:r>
            <w:proofErr w:type="gramEnd"/>
            <w:r w:rsidRPr="003A4ED5">
              <w:rPr>
                <w:color w:val="000000"/>
                <w:sz w:val="20"/>
                <w:szCs w:val="20"/>
              </w:rPr>
              <w:t xml:space="preserve"> %age</w:t>
            </w:r>
          </w:p>
        </w:tc>
        <w:tc>
          <w:tcPr>
            <w:tcW w:w="709" w:type="dxa"/>
            <w:shd w:val="clear" w:color="auto" w:fill="auto"/>
            <w:noWrap/>
            <w:hideMark/>
          </w:tcPr>
          <w:p w14:paraId="667AF823" w14:textId="77777777" w:rsidR="00463EBD" w:rsidRPr="003A4ED5" w:rsidRDefault="00463EBD" w:rsidP="000A0A06">
            <w:pPr>
              <w:jc w:val="left"/>
              <w:rPr>
                <w:color w:val="000000"/>
                <w:sz w:val="20"/>
                <w:szCs w:val="20"/>
              </w:rPr>
            </w:pPr>
            <w:proofErr w:type="gramStart"/>
            <w:r w:rsidRPr="003A4ED5">
              <w:rPr>
                <w:color w:val="000000"/>
                <w:sz w:val="20"/>
                <w:szCs w:val="20"/>
              </w:rPr>
              <w:t>in</w:t>
            </w:r>
            <w:proofErr w:type="gramEnd"/>
            <w:r w:rsidRPr="003A4ED5">
              <w:rPr>
                <w:color w:val="000000"/>
                <w:sz w:val="20"/>
                <w:szCs w:val="20"/>
              </w:rPr>
              <w:t xml:space="preserve"> </w:t>
            </w:r>
            <w:proofErr w:type="spellStart"/>
            <w:r w:rsidRPr="003A4ED5">
              <w:rPr>
                <w:color w:val="000000"/>
                <w:sz w:val="20"/>
                <w:szCs w:val="20"/>
              </w:rPr>
              <w:t>kms</w:t>
            </w:r>
            <w:proofErr w:type="spellEnd"/>
          </w:p>
        </w:tc>
        <w:tc>
          <w:tcPr>
            <w:tcW w:w="708" w:type="dxa"/>
            <w:shd w:val="clear" w:color="auto" w:fill="auto"/>
            <w:noWrap/>
            <w:hideMark/>
          </w:tcPr>
          <w:p w14:paraId="168E4157" w14:textId="77777777" w:rsidR="00463EBD" w:rsidRPr="003A4ED5" w:rsidRDefault="00463EBD" w:rsidP="000A0A06">
            <w:pPr>
              <w:jc w:val="left"/>
              <w:rPr>
                <w:color w:val="000000"/>
                <w:sz w:val="20"/>
                <w:szCs w:val="20"/>
              </w:rPr>
            </w:pPr>
            <w:proofErr w:type="gramStart"/>
            <w:r w:rsidRPr="003A4ED5">
              <w:rPr>
                <w:color w:val="000000"/>
                <w:sz w:val="20"/>
                <w:szCs w:val="20"/>
              </w:rPr>
              <w:t>in</w:t>
            </w:r>
            <w:proofErr w:type="gramEnd"/>
            <w:r w:rsidRPr="003A4ED5">
              <w:rPr>
                <w:color w:val="000000"/>
                <w:sz w:val="20"/>
                <w:szCs w:val="20"/>
              </w:rPr>
              <w:t xml:space="preserve"> %age</w:t>
            </w:r>
          </w:p>
        </w:tc>
        <w:tc>
          <w:tcPr>
            <w:tcW w:w="709" w:type="dxa"/>
            <w:shd w:val="clear" w:color="auto" w:fill="auto"/>
            <w:noWrap/>
            <w:hideMark/>
          </w:tcPr>
          <w:p w14:paraId="6A6D6C49" w14:textId="77777777" w:rsidR="00463EBD" w:rsidRPr="003A4ED5" w:rsidRDefault="00463EBD" w:rsidP="000A0A06">
            <w:pPr>
              <w:jc w:val="left"/>
              <w:rPr>
                <w:color w:val="000000"/>
                <w:sz w:val="20"/>
                <w:szCs w:val="20"/>
              </w:rPr>
            </w:pPr>
            <w:proofErr w:type="gramStart"/>
            <w:r w:rsidRPr="003A4ED5">
              <w:rPr>
                <w:color w:val="000000"/>
                <w:sz w:val="20"/>
                <w:szCs w:val="20"/>
              </w:rPr>
              <w:t>in</w:t>
            </w:r>
            <w:proofErr w:type="gramEnd"/>
            <w:r w:rsidRPr="003A4ED5">
              <w:rPr>
                <w:color w:val="000000"/>
                <w:sz w:val="20"/>
                <w:szCs w:val="20"/>
              </w:rPr>
              <w:t xml:space="preserve"> </w:t>
            </w:r>
            <w:proofErr w:type="spellStart"/>
            <w:r w:rsidRPr="003A4ED5">
              <w:rPr>
                <w:color w:val="000000"/>
                <w:sz w:val="20"/>
                <w:szCs w:val="20"/>
              </w:rPr>
              <w:t>kms</w:t>
            </w:r>
            <w:proofErr w:type="spellEnd"/>
          </w:p>
        </w:tc>
        <w:tc>
          <w:tcPr>
            <w:tcW w:w="709" w:type="dxa"/>
            <w:shd w:val="clear" w:color="auto" w:fill="auto"/>
            <w:noWrap/>
            <w:hideMark/>
          </w:tcPr>
          <w:p w14:paraId="02E029E1" w14:textId="77777777" w:rsidR="00463EBD" w:rsidRPr="003A4ED5" w:rsidRDefault="00463EBD" w:rsidP="000A0A06">
            <w:pPr>
              <w:jc w:val="left"/>
              <w:rPr>
                <w:color w:val="000000"/>
                <w:sz w:val="20"/>
                <w:szCs w:val="20"/>
              </w:rPr>
            </w:pPr>
            <w:proofErr w:type="gramStart"/>
            <w:r w:rsidRPr="003A4ED5">
              <w:rPr>
                <w:color w:val="000000"/>
                <w:sz w:val="20"/>
                <w:szCs w:val="20"/>
              </w:rPr>
              <w:t>in</w:t>
            </w:r>
            <w:proofErr w:type="gramEnd"/>
            <w:r w:rsidRPr="003A4ED5">
              <w:rPr>
                <w:color w:val="000000"/>
                <w:sz w:val="20"/>
                <w:szCs w:val="20"/>
              </w:rPr>
              <w:t xml:space="preserve"> %age</w:t>
            </w:r>
          </w:p>
        </w:tc>
        <w:tc>
          <w:tcPr>
            <w:tcW w:w="709" w:type="dxa"/>
            <w:shd w:val="clear" w:color="auto" w:fill="auto"/>
            <w:noWrap/>
            <w:hideMark/>
          </w:tcPr>
          <w:p w14:paraId="6CB34BCA" w14:textId="77777777" w:rsidR="00463EBD" w:rsidRPr="003A4ED5" w:rsidRDefault="00463EBD" w:rsidP="000A0A06">
            <w:pPr>
              <w:jc w:val="left"/>
              <w:rPr>
                <w:color w:val="000000"/>
                <w:sz w:val="20"/>
                <w:szCs w:val="20"/>
              </w:rPr>
            </w:pPr>
            <w:proofErr w:type="gramStart"/>
            <w:r w:rsidRPr="003A4ED5">
              <w:rPr>
                <w:color w:val="000000"/>
                <w:sz w:val="20"/>
                <w:szCs w:val="20"/>
              </w:rPr>
              <w:t>in</w:t>
            </w:r>
            <w:proofErr w:type="gramEnd"/>
            <w:r w:rsidRPr="003A4ED5">
              <w:rPr>
                <w:color w:val="000000"/>
                <w:sz w:val="20"/>
                <w:szCs w:val="20"/>
              </w:rPr>
              <w:t xml:space="preserve"> </w:t>
            </w:r>
            <w:proofErr w:type="spellStart"/>
            <w:r w:rsidRPr="003A4ED5">
              <w:rPr>
                <w:color w:val="000000"/>
                <w:sz w:val="20"/>
                <w:szCs w:val="20"/>
              </w:rPr>
              <w:t>kms</w:t>
            </w:r>
            <w:proofErr w:type="spellEnd"/>
          </w:p>
        </w:tc>
        <w:tc>
          <w:tcPr>
            <w:tcW w:w="850" w:type="dxa"/>
            <w:shd w:val="clear" w:color="auto" w:fill="auto"/>
            <w:noWrap/>
            <w:hideMark/>
          </w:tcPr>
          <w:p w14:paraId="356F8749" w14:textId="77777777" w:rsidR="00463EBD" w:rsidRPr="003A4ED5" w:rsidRDefault="00463EBD" w:rsidP="000A0A06">
            <w:pPr>
              <w:jc w:val="left"/>
              <w:rPr>
                <w:color w:val="000000"/>
                <w:sz w:val="20"/>
                <w:szCs w:val="20"/>
              </w:rPr>
            </w:pPr>
            <w:proofErr w:type="gramStart"/>
            <w:r w:rsidRPr="003A4ED5">
              <w:rPr>
                <w:color w:val="000000"/>
                <w:sz w:val="20"/>
                <w:szCs w:val="20"/>
              </w:rPr>
              <w:t>in</w:t>
            </w:r>
            <w:proofErr w:type="gramEnd"/>
            <w:r w:rsidRPr="003A4ED5">
              <w:rPr>
                <w:color w:val="000000"/>
                <w:sz w:val="20"/>
                <w:szCs w:val="20"/>
              </w:rPr>
              <w:t xml:space="preserve"> %age</w:t>
            </w:r>
          </w:p>
        </w:tc>
        <w:tc>
          <w:tcPr>
            <w:tcW w:w="851" w:type="dxa"/>
            <w:shd w:val="clear" w:color="auto" w:fill="auto"/>
            <w:noWrap/>
            <w:hideMark/>
          </w:tcPr>
          <w:p w14:paraId="12A5D284" w14:textId="77777777" w:rsidR="00463EBD" w:rsidRPr="003A4ED5" w:rsidRDefault="00463EBD" w:rsidP="000A0A06">
            <w:pPr>
              <w:jc w:val="left"/>
              <w:rPr>
                <w:color w:val="000000"/>
                <w:sz w:val="20"/>
                <w:szCs w:val="20"/>
              </w:rPr>
            </w:pPr>
            <w:proofErr w:type="gramStart"/>
            <w:r w:rsidRPr="003A4ED5">
              <w:rPr>
                <w:color w:val="000000"/>
                <w:sz w:val="20"/>
                <w:szCs w:val="20"/>
              </w:rPr>
              <w:t>in</w:t>
            </w:r>
            <w:proofErr w:type="gramEnd"/>
            <w:r w:rsidRPr="003A4ED5">
              <w:rPr>
                <w:color w:val="000000"/>
                <w:sz w:val="20"/>
                <w:szCs w:val="20"/>
              </w:rPr>
              <w:t xml:space="preserve"> </w:t>
            </w:r>
            <w:proofErr w:type="spellStart"/>
            <w:r w:rsidRPr="003A4ED5">
              <w:rPr>
                <w:color w:val="000000"/>
                <w:sz w:val="20"/>
                <w:szCs w:val="20"/>
              </w:rPr>
              <w:t>kms</w:t>
            </w:r>
            <w:proofErr w:type="spellEnd"/>
          </w:p>
        </w:tc>
      </w:tr>
      <w:tr w:rsidR="00463EBD" w:rsidRPr="003A4ED5" w14:paraId="64E7D4BD" w14:textId="77777777" w:rsidTr="000A0A06">
        <w:trPr>
          <w:trHeight w:val="300"/>
          <w:jc w:val="center"/>
        </w:trPr>
        <w:tc>
          <w:tcPr>
            <w:tcW w:w="1636" w:type="dxa"/>
            <w:shd w:val="clear" w:color="auto" w:fill="auto"/>
            <w:noWrap/>
            <w:hideMark/>
          </w:tcPr>
          <w:p w14:paraId="05BE4644" w14:textId="77777777" w:rsidR="00463EBD" w:rsidRPr="003A4ED5" w:rsidRDefault="00463EBD" w:rsidP="000A0A06">
            <w:pPr>
              <w:jc w:val="left"/>
              <w:rPr>
                <w:color w:val="000000"/>
                <w:sz w:val="20"/>
                <w:szCs w:val="20"/>
              </w:rPr>
            </w:pPr>
            <w:r w:rsidRPr="003A4ED5">
              <w:rPr>
                <w:color w:val="000000"/>
                <w:sz w:val="20"/>
                <w:szCs w:val="20"/>
              </w:rPr>
              <w:t xml:space="preserve">Rajiv </w:t>
            </w:r>
            <w:proofErr w:type="spellStart"/>
            <w:r w:rsidRPr="003A4ED5">
              <w:rPr>
                <w:color w:val="000000"/>
                <w:sz w:val="20"/>
                <w:szCs w:val="20"/>
              </w:rPr>
              <w:t>Chowk</w:t>
            </w:r>
            <w:proofErr w:type="spellEnd"/>
          </w:p>
        </w:tc>
        <w:tc>
          <w:tcPr>
            <w:tcW w:w="709" w:type="dxa"/>
            <w:shd w:val="clear" w:color="auto" w:fill="auto"/>
            <w:noWrap/>
            <w:hideMark/>
          </w:tcPr>
          <w:p w14:paraId="6F9A5EC4" w14:textId="77777777" w:rsidR="00463EBD" w:rsidRPr="003A4ED5" w:rsidRDefault="00463EBD" w:rsidP="000A0A06">
            <w:pPr>
              <w:jc w:val="left"/>
              <w:rPr>
                <w:color w:val="000000"/>
                <w:sz w:val="20"/>
                <w:szCs w:val="20"/>
              </w:rPr>
            </w:pPr>
            <w:r w:rsidRPr="003A4ED5">
              <w:rPr>
                <w:color w:val="000000"/>
                <w:sz w:val="20"/>
                <w:szCs w:val="20"/>
              </w:rPr>
              <w:t>12.6</w:t>
            </w:r>
          </w:p>
        </w:tc>
        <w:tc>
          <w:tcPr>
            <w:tcW w:w="709" w:type="dxa"/>
            <w:shd w:val="clear" w:color="auto" w:fill="auto"/>
            <w:noWrap/>
            <w:hideMark/>
          </w:tcPr>
          <w:p w14:paraId="10326AA9" w14:textId="77777777" w:rsidR="00463EBD" w:rsidRPr="003A4ED5" w:rsidRDefault="00463EBD" w:rsidP="000A0A06">
            <w:pPr>
              <w:jc w:val="left"/>
              <w:rPr>
                <w:color w:val="000000"/>
                <w:sz w:val="20"/>
                <w:szCs w:val="20"/>
              </w:rPr>
            </w:pPr>
            <w:r w:rsidRPr="003A4ED5">
              <w:rPr>
                <w:color w:val="000000"/>
                <w:sz w:val="20"/>
                <w:szCs w:val="20"/>
              </w:rPr>
              <w:t>79.8</w:t>
            </w:r>
          </w:p>
        </w:tc>
        <w:tc>
          <w:tcPr>
            <w:tcW w:w="709" w:type="dxa"/>
            <w:shd w:val="clear" w:color="auto" w:fill="auto"/>
            <w:noWrap/>
            <w:hideMark/>
          </w:tcPr>
          <w:p w14:paraId="793286C5" w14:textId="77777777" w:rsidR="00463EBD" w:rsidRPr="003A4ED5" w:rsidRDefault="00463EBD" w:rsidP="000A0A06">
            <w:pPr>
              <w:jc w:val="left"/>
              <w:rPr>
                <w:color w:val="000000"/>
                <w:sz w:val="20"/>
                <w:szCs w:val="20"/>
              </w:rPr>
            </w:pPr>
            <w:r w:rsidRPr="003A4ED5">
              <w:rPr>
                <w:color w:val="000000"/>
                <w:sz w:val="20"/>
                <w:szCs w:val="20"/>
              </w:rPr>
              <w:t>2.2</w:t>
            </w:r>
          </w:p>
        </w:tc>
        <w:tc>
          <w:tcPr>
            <w:tcW w:w="708" w:type="dxa"/>
            <w:shd w:val="clear" w:color="auto" w:fill="auto"/>
            <w:noWrap/>
            <w:hideMark/>
          </w:tcPr>
          <w:p w14:paraId="2269284F" w14:textId="77777777" w:rsidR="00463EBD" w:rsidRPr="003A4ED5" w:rsidRDefault="00463EBD" w:rsidP="000A0A06">
            <w:pPr>
              <w:jc w:val="left"/>
              <w:rPr>
                <w:color w:val="000000"/>
                <w:sz w:val="20"/>
                <w:szCs w:val="20"/>
              </w:rPr>
            </w:pPr>
            <w:r w:rsidRPr="003A4ED5">
              <w:rPr>
                <w:color w:val="000000"/>
                <w:sz w:val="20"/>
                <w:szCs w:val="20"/>
              </w:rPr>
              <w:t>13.9</w:t>
            </w:r>
          </w:p>
        </w:tc>
        <w:tc>
          <w:tcPr>
            <w:tcW w:w="709" w:type="dxa"/>
            <w:shd w:val="clear" w:color="auto" w:fill="auto"/>
            <w:noWrap/>
            <w:hideMark/>
          </w:tcPr>
          <w:p w14:paraId="373C122D" w14:textId="77777777" w:rsidR="00463EBD" w:rsidRPr="003A4ED5" w:rsidRDefault="00463EBD" w:rsidP="000A0A06">
            <w:pPr>
              <w:jc w:val="left"/>
              <w:rPr>
                <w:color w:val="000000"/>
                <w:sz w:val="20"/>
                <w:szCs w:val="20"/>
              </w:rPr>
            </w:pPr>
            <w:r w:rsidRPr="003A4ED5">
              <w:rPr>
                <w:color w:val="000000"/>
                <w:sz w:val="20"/>
                <w:szCs w:val="20"/>
              </w:rPr>
              <w:t>1.0</w:t>
            </w:r>
          </w:p>
        </w:tc>
        <w:tc>
          <w:tcPr>
            <w:tcW w:w="709" w:type="dxa"/>
            <w:shd w:val="clear" w:color="auto" w:fill="auto"/>
            <w:noWrap/>
            <w:hideMark/>
          </w:tcPr>
          <w:p w14:paraId="16921A06" w14:textId="77777777" w:rsidR="00463EBD" w:rsidRPr="003A4ED5" w:rsidRDefault="00463EBD" w:rsidP="000A0A06">
            <w:pPr>
              <w:jc w:val="left"/>
              <w:rPr>
                <w:color w:val="000000"/>
                <w:sz w:val="20"/>
                <w:szCs w:val="20"/>
              </w:rPr>
            </w:pPr>
            <w:r w:rsidRPr="003A4ED5">
              <w:rPr>
                <w:color w:val="000000"/>
                <w:sz w:val="20"/>
                <w:szCs w:val="20"/>
              </w:rPr>
              <w:t>6.3</w:t>
            </w:r>
          </w:p>
        </w:tc>
        <w:tc>
          <w:tcPr>
            <w:tcW w:w="709" w:type="dxa"/>
            <w:shd w:val="clear" w:color="auto" w:fill="auto"/>
            <w:noWrap/>
            <w:hideMark/>
          </w:tcPr>
          <w:p w14:paraId="7DFD0B34" w14:textId="77777777" w:rsidR="00463EBD" w:rsidRPr="003A4ED5" w:rsidRDefault="00463EBD" w:rsidP="000A0A06">
            <w:pPr>
              <w:jc w:val="left"/>
              <w:rPr>
                <w:color w:val="000000"/>
                <w:sz w:val="20"/>
                <w:szCs w:val="20"/>
              </w:rPr>
            </w:pPr>
            <w:r w:rsidRPr="003A4ED5">
              <w:rPr>
                <w:color w:val="000000"/>
                <w:sz w:val="20"/>
                <w:szCs w:val="20"/>
              </w:rPr>
              <w:t>3.2</w:t>
            </w:r>
          </w:p>
        </w:tc>
        <w:tc>
          <w:tcPr>
            <w:tcW w:w="850" w:type="dxa"/>
            <w:shd w:val="clear" w:color="auto" w:fill="auto"/>
            <w:noWrap/>
            <w:hideMark/>
          </w:tcPr>
          <w:p w14:paraId="6FA3BE7A" w14:textId="77777777" w:rsidR="00463EBD" w:rsidRPr="003A4ED5" w:rsidRDefault="00463EBD" w:rsidP="000A0A06">
            <w:pPr>
              <w:jc w:val="left"/>
              <w:rPr>
                <w:color w:val="000000"/>
                <w:sz w:val="20"/>
                <w:szCs w:val="20"/>
              </w:rPr>
            </w:pPr>
            <w:r w:rsidRPr="003A4ED5">
              <w:rPr>
                <w:color w:val="000000"/>
                <w:sz w:val="20"/>
                <w:szCs w:val="20"/>
              </w:rPr>
              <w:t>20.2</w:t>
            </w:r>
          </w:p>
        </w:tc>
        <w:tc>
          <w:tcPr>
            <w:tcW w:w="851" w:type="dxa"/>
            <w:shd w:val="clear" w:color="auto" w:fill="auto"/>
            <w:noWrap/>
            <w:hideMark/>
          </w:tcPr>
          <w:p w14:paraId="77CF406F" w14:textId="77777777" w:rsidR="00463EBD" w:rsidRPr="003A4ED5" w:rsidRDefault="00463EBD" w:rsidP="000A0A06">
            <w:pPr>
              <w:jc w:val="left"/>
              <w:rPr>
                <w:color w:val="000000"/>
                <w:sz w:val="20"/>
                <w:szCs w:val="20"/>
              </w:rPr>
            </w:pPr>
            <w:r w:rsidRPr="003A4ED5">
              <w:rPr>
                <w:color w:val="000000"/>
                <w:sz w:val="20"/>
                <w:szCs w:val="20"/>
              </w:rPr>
              <w:t>15.8</w:t>
            </w:r>
          </w:p>
        </w:tc>
      </w:tr>
      <w:tr w:rsidR="00463EBD" w:rsidRPr="003A4ED5" w14:paraId="0079EC5E" w14:textId="77777777" w:rsidTr="000A0A06">
        <w:trPr>
          <w:trHeight w:val="300"/>
          <w:jc w:val="center"/>
        </w:trPr>
        <w:tc>
          <w:tcPr>
            <w:tcW w:w="1636" w:type="dxa"/>
            <w:shd w:val="clear" w:color="auto" w:fill="auto"/>
            <w:noWrap/>
            <w:hideMark/>
          </w:tcPr>
          <w:p w14:paraId="2CD93E96" w14:textId="77777777" w:rsidR="00463EBD" w:rsidRPr="003A4ED5" w:rsidRDefault="00463EBD" w:rsidP="000A0A06">
            <w:pPr>
              <w:jc w:val="left"/>
              <w:rPr>
                <w:color w:val="000000"/>
                <w:sz w:val="20"/>
                <w:szCs w:val="20"/>
              </w:rPr>
            </w:pPr>
            <w:proofErr w:type="spellStart"/>
            <w:r w:rsidRPr="003A4ED5">
              <w:rPr>
                <w:color w:val="000000"/>
                <w:sz w:val="20"/>
                <w:szCs w:val="20"/>
              </w:rPr>
              <w:t>Chandni</w:t>
            </w:r>
            <w:proofErr w:type="spellEnd"/>
            <w:r w:rsidRPr="003A4ED5">
              <w:rPr>
                <w:color w:val="000000"/>
                <w:sz w:val="20"/>
                <w:szCs w:val="20"/>
              </w:rPr>
              <w:t xml:space="preserve"> </w:t>
            </w:r>
            <w:proofErr w:type="spellStart"/>
            <w:r w:rsidRPr="003A4ED5">
              <w:rPr>
                <w:color w:val="000000"/>
                <w:sz w:val="20"/>
                <w:szCs w:val="20"/>
              </w:rPr>
              <w:t>Chowk</w:t>
            </w:r>
            <w:proofErr w:type="spellEnd"/>
          </w:p>
        </w:tc>
        <w:tc>
          <w:tcPr>
            <w:tcW w:w="709" w:type="dxa"/>
            <w:shd w:val="clear" w:color="auto" w:fill="auto"/>
            <w:noWrap/>
            <w:hideMark/>
          </w:tcPr>
          <w:p w14:paraId="2542D7DC" w14:textId="77777777" w:rsidR="00463EBD" w:rsidRPr="003A4ED5" w:rsidRDefault="00463EBD" w:rsidP="000A0A06">
            <w:pPr>
              <w:jc w:val="left"/>
              <w:rPr>
                <w:color w:val="000000"/>
                <w:sz w:val="20"/>
                <w:szCs w:val="20"/>
              </w:rPr>
            </w:pPr>
            <w:r w:rsidRPr="003A4ED5">
              <w:rPr>
                <w:color w:val="000000"/>
                <w:sz w:val="20"/>
                <w:szCs w:val="20"/>
              </w:rPr>
              <w:t>10.6</w:t>
            </w:r>
          </w:p>
        </w:tc>
        <w:tc>
          <w:tcPr>
            <w:tcW w:w="709" w:type="dxa"/>
            <w:shd w:val="clear" w:color="auto" w:fill="auto"/>
            <w:noWrap/>
            <w:hideMark/>
          </w:tcPr>
          <w:p w14:paraId="105FE4D2" w14:textId="77777777" w:rsidR="00463EBD" w:rsidRPr="003A4ED5" w:rsidRDefault="00463EBD" w:rsidP="000A0A06">
            <w:pPr>
              <w:jc w:val="left"/>
              <w:rPr>
                <w:color w:val="000000"/>
                <w:sz w:val="20"/>
                <w:szCs w:val="20"/>
              </w:rPr>
            </w:pPr>
            <w:r w:rsidRPr="003A4ED5">
              <w:rPr>
                <w:color w:val="000000"/>
                <w:sz w:val="20"/>
                <w:szCs w:val="20"/>
              </w:rPr>
              <w:t>81.2</w:t>
            </w:r>
          </w:p>
        </w:tc>
        <w:tc>
          <w:tcPr>
            <w:tcW w:w="709" w:type="dxa"/>
            <w:shd w:val="clear" w:color="auto" w:fill="auto"/>
            <w:noWrap/>
            <w:hideMark/>
          </w:tcPr>
          <w:p w14:paraId="49DA1438" w14:textId="77777777" w:rsidR="00463EBD" w:rsidRPr="003A4ED5" w:rsidRDefault="00463EBD" w:rsidP="000A0A06">
            <w:pPr>
              <w:jc w:val="left"/>
              <w:rPr>
                <w:color w:val="000000"/>
                <w:sz w:val="20"/>
                <w:szCs w:val="20"/>
              </w:rPr>
            </w:pPr>
            <w:r w:rsidRPr="003A4ED5">
              <w:rPr>
                <w:color w:val="000000"/>
                <w:sz w:val="20"/>
                <w:szCs w:val="20"/>
              </w:rPr>
              <w:t>1.3</w:t>
            </w:r>
          </w:p>
        </w:tc>
        <w:tc>
          <w:tcPr>
            <w:tcW w:w="708" w:type="dxa"/>
            <w:shd w:val="clear" w:color="auto" w:fill="auto"/>
            <w:noWrap/>
            <w:hideMark/>
          </w:tcPr>
          <w:p w14:paraId="4E469092" w14:textId="77777777" w:rsidR="00463EBD" w:rsidRPr="003A4ED5" w:rsidRDefault="00463EBD" w:rsidP="000A0A06">
            <w:pPr>
              <w:jc w:val="left"/>
              <w:rPr>
                <w:color w:val="000000"/>
                <w:sz w:val="20"/>
                <w:szCs w:val="20"/>
              </w:rPr>
            </w:pPr>
            <w:r w:rsidRPr="003A4ED5">
              <w:rPr>
                <w:color w:val="000000"/>
                <w:sz w:val="20"/>
                <w:szCs w:val="20"/>
              </w:rPr>
              <w:t>9.8</w:t>
            </w:r>
          </w:p>
        </w:tc>
        <w:tc>
          <w:tcPr>
            <w:tcW w:w="709" w:type="dxa"/>
            <w:shd w:val="clear" w:color="auto" w:fill="auto"/>
            <w:noWrap/>
            <w:hideMark/>
          </w:tcPr>
          <w:p w14:paraId="0424FDEB" w14:textId="77777777" w:rsidR="00463EBD" w:rsidRPr="003A4ED5" w:rsidRDefault="00463EBD" w:rsidP="000A0A06">
            <w:pPr>
              <w:jc w:val="left"/>
              <w:rPr>
                <w:color w:val="000000"/>
                <w:sz w:val="20"/>
                <w:szCs w:val="20"/>
              </w:rPr>
            </w:pPr>
            <w:r w:rsidRPr="003A4ED5">
              <w:rPr>
                <w:color w:val="000000"/>
                <w:sz w:val="20"/>
                <w:szCs w:val="20"/>
              </w:rPr>
              <w:t>1.2</w:t>
            </w:r>
          </w:p>
        </w:tc>
        <w:tc>
          <w:tcPr>
            <w:tcW w:w="709" w:type="dxa"/>
            <w:shd w:val="clear" w:color="auto" w:fill="auto"/>
            <w:noWrap/>
            <w:hideMark/>
          </w:tcPr>
          <w:p w14:paraId="1A2DE1C9" w14:textId="77777777" w:rsidR="00463EBD" w:rsidRPr="003A4ED5" w:rsidRDefault="00463EBD" w:rsidP="000A0A06">
            <w:pPr>
              <w:jc w:val="left"/>
              <w:rPr>
                <w:color w:val="000000"/>
                <w:sz w:val="20"/>
                <w:szCs w:val="20"/>
              </w:rPr>
            </w:pPr>
            <w:r w:rsidRPr="003A4ED5">
              <w:rPr>
                <w:color w:val="000000"/>
                <w:sz w:val="20"/>
                <w:szCs w:val="20"/>
              </w:rPr>
              <w:t>9</w:t>
            </w:r>
          </w:p>
        </w:tc>
        <w:tc>
          <w:tcPr>
            <w:tcW w:w="709" w:type="dxa"/>
            <w:shd w:val="clear" w:color="auto" w:fill="auto"/>
            <w:noWrap/>
            <w:hideMark/>
          </w:tcPr>
          <w:p w14:paraId="6D3BA572" w14:textId="77777777" w:rsidR="00463EBD" w:rsidRPr="003A4ED5" w:rsidRDefault="00463EBD" w:rsidP="000A0A06">
            <w:pPr>
              <w:jc w:val="left"/>
              <w:rPr>
                <w:color w:val="000000"/>
                <w:sz w:val="20"/>
                <w:szCs w:val="20"/>
              </w:rPr>
            </w:pPr>
            <w:r w:rsidRPr="003A4ED5">
              <w:rPr>
                <w:color w:val="000000"/>
                <w:sz w:val="20"/>
                <w:szCs w:val="20"/>
              </w:rPr>
              <w:t>2.5</w:t>
            </w:r>
          </w:p>
        </w:tc>
        <w:tc>
          <w:tcPr>
            <w:tcW w:w="850" w:type="dxa"/>
            <w:shd w:val="clear" w:color="auto" w:fill="auto"/>
            <w:noWrap/>
            <w:hideMark/>
          </w:tcPr>
          <w:p w14:paraId="244706EB" w14:textId="77777777" w:rsidR="00463EBD" w:rsidRPr="003A4ED5" w:rsidRDefault="00463EBD" w:rsidP="000A0A06">
            <w:pPr>
              <w:jc w:val="left"/>
              <w:rPr>
                <w:color w:val="000000"/>
                <w:sz w:val="20"/>
                <w:szCs w:val="20"/>
              </w:rPr>
            </w:pPr>
            <w:r w:rsidRPr="003A4ED5">
              <w:rPr>
                <w:color w:val="000000"/>
                <w:sz w:val="20"/>
                <w:szCs w:val="20"/>
              </w:rPr>
              <w:t>18.8</w:t>
            </w:r>
          </w:p>
        </w:tc>
        <w:tc>
          <w:tcPr>
            <w:tcW w:w="851" w:type="dxa"/>
            <w:shd w:val="clear" w:color="auto" w:fill="auto"/>
            <w:noWrap/>
            <w:hideMark/>
          </w:tcPr>
          <w:p w14:paraId="53E12CA1" w14:textId="77777777" w:rsidR="00463EBD" w:rsidRPr="003A4ED5" w:rsidRDefault="00463EBD" w:rsidP="000A0A06">
            <w:pPr>
              <w:jc w:val="left"/>
              <w:rPr>
                <w:color w:val="000000"/>
                <w:sz w:val="20"/>
                <w:szCs w:val="20"/>
              </w:rPr>
            </w:pPr>
            <w:r w:rsidRPr="003A4ED5">
              <w:rPr>
                <w:color w:val="000000"/>
                <w:sz w:val="20"/>
                <w:szCs w:val="20"/>
              </w:rPr>
              <w:t>13.1</w:t>
            </w:r>
          </w:p>
        </w:tc>
      </w:tr>
      <w:tr w:rsidR="00463EBD" w:rsidRPr="003A4ED5" w14:paraId="253F7E6B" w14:textId="77777777" w:rsidTr="000A0A06">
        <w:trPr>
          <w:trHeight w:val="300"/>
          <w:jc w:val="center"/>
        </w:trPr>
        <w:tc>
          <w:tcPr>
            <w:tcW w:w="1636" w:type="dxa"/>
            <w:shd w:val="clear" w:color="auto" w:fill="auto"/>
            <w:noWrap/>
            <w:hideMark/>
          </w:tcPr>
          <w:p w14:paraId="606D7763" w14:textId="77777777" w:rsidR="00463EBD" w:rsidRPr="003A4ED5" w:rsidRDefault="00463EBD" w:rsidP="000A0A06">
            <w:pPr>
              <w:jc w:val="left"/>
              <w:rPr>
                <w:color w:val="000000"/>
                <w:sz w:val="20"/>
                <w:szCs w:val="20"/>
              </w:rPr>
            </w:pPr>
            <w:r w:rsidRPr="003A4ED5">
              <w:rPr>
                <w:color w:val="000000"/>
                <w:sz w:val="20"/>
                <w:szCs w:val="20"/>
              </w:rPr>
              <w:t>Noida City Centre</w:t>
            </w:r>
          </w:p>
        </w:tc>
        <w:tc>
          <w:tcPr>
            <w:tcW w:w="709" w:type="dxa"/>
            <w:shd w:val="clear" w:color="auto" w:fill="auto"/>
            <w:noWrap/>
            <w:hideMark/>
          </w:tcPr>
          <w:p w14:paraId="6289F55E" w14:textId="77777777" w:rsidR="00463EBD" w:rsidRPr="003A4ED5" w:rsidRDefault="00463EBD" w:rsidP="000A0A06">
            <w:pPr>
              <w:jc w:val="left"/>
              <w:rPr>
                <w:color w:val="000000"/>
                <w:sz w:val="20"/>
                <w:szCs w:val="20"/>
              </w:rPr>
            </w:pPr>
            <w:r w:rsidRPr="003A4ED5">
              <w:rPr>
                <w:color w:val="000000"/>
                <w:sz w:val="20"/>
                <w:szCs w:val="20"/>
              </w:rPr>
              <w:t>18.4</w:t>
            </w:r>
          </w:p>
        </w:tc>
        <w:tc>
          <w:tcPr>
            <w:tcW w:w="709" w:type="dxa"/>
            <w:shd w:val="clear" w:color="auto" w:fill="auto"/>
            <w:noWrap/>
            <w:hideMark/>
          </w:tcPr>
          <w:p w14:paraId="61970BBC" w14:textId="77777777" w:rsidR="00463EBD" w:rsidRPr="003A4ED5" w:rsidRDefault="00463EBD" w:rsidP="000A0A06">
            <w:pPr>
              <w:jc w:val="left"/>
              <w:rPr>
                <w:color w:val="000000"/>
                <w:sz w:val="20"/>
                <w:szCs w:val="20"/>
              </w:rPr>
            </w:pPr>
            <w:r w:rsidRPr="003A4ED5">
              <w:rPr>
                <w:color w:val="000000"/>
                <w:sz w:val="20"/>
                <w:szCs w:val="20"/>
              </w:rPr>
              <w:t>77.3</w:t>
            </w:r>
          </w:p>
        </w:tc>
        <w:tc>
          <w:tcPr>
            <w:tcW w:w="709" w:type="dxa"/>
            <w:shd w:val="clear" w:color="auto" w:fill="auto"/>
            <w:noWrap/>
            <w:hideMark/>
          </w:tcPr>
          <w:p w14:paraId="7AAA1D69" w14:textId="77777777" w:rsidR="00463EBD" w:rsidRPr="003A4ED5" w:rsidRDefault="00463EBD" w:rsidP="000A0A06">
            <w:pPr>
              <w:jc w:val="left"/>
              <w:rPr>
                <w:color w:val="000000"/>
                <w:sz w:val="20"/>
                <w:szCs w:val="20"/>
              </w:rPr>
            </w:pPr>
            <w:r w:rsidRPr="003A4ED5">
              <w:rPr>
                <w:color w:val="000000"/>
                <w:sz w:val="20"/>
                <w:szCs w:val="20"/>
              </w:rPr>
              <w:t>1.2</w:t>
            </w:r>
          </w:p>
        </w:tc>
        <w:tc>
          <w:tcPr>
            <w:tcW w:w="708" w:type="dxa"/>
            <w:shd w:val="clear" w:color="auto" w:fill="auto"/>
            <w:noWrap/>
            <w:hideMark/>
          </w:tcPr>
          <w:p w14:paraId="6B37377C" w14:textId="77777777" w:rsidR="00463EBD" w:rsidRPr="003A4ED5" w:rsidRDefault="00463EBD" w:rsidP="000A0A06">
            <w:pPr>
              <w:jc w:val="left"/>
              <w:rPr>
                <w:color w:val="000000"/>
                <w:sz w:val="20"/>
                <w:szCs w:val="20"/>
              </w:rPr>
            </w:pPr>
            <w:r w:rsidRPr="003A4ED5">
              <w:rPr>
                <w:color w:val="000000"/>
                <w:sz w:val="20"/>
                <w:szCs w:val="20"/>
              </w:rPr>
              <w:t>5</w:t>
            </w:r>
          </w:p>
        </w:tc>
        <w:tc>
          <w:tcPr>
            <w:tcW w:w="709" w:type="dxa"/>
            <w:shd w:val="clear" w:color="auto" w:fill="auto"/>
            <w:noWrap/>
            <w:hideMark/>
          </w:tcPr>
          <w:p w14:paraId="40587114" w14:textId="77777777" w:rsidR="00463EBD" w:rsidRPr="003A4ED5" w:rsidRDefault="00463EBD" w:rsidP="000A0A06">
            <w:pPr>
              <w:jc w:val="left"/>
              <w:rPr>
                <w:color w:val="000000"/>
                <w:sz w:val="20"/>
                <w:szCs w:val="20"/>
              </w:rPr>
            </w:pPr>
            <w:r w:rsidRPr="003A4ED5">
              <w:rPr>
                <w:color w:val="000000"/>
                <w:sz w:val="20"/>
                <w:szCs w:val="20"/>
              </w:rPr>
              <w:t>4.2</w:t>
            </w:r>
          </w:p>
        </w:tc>
        <w:tc>
          <w:tcPr>
            <w:tcW w:w="709" w:type="dxa"/>
            <w:shd w:val="clear" w:color="auto" w:fill="auto"/>
            <w:noWrap/>
            <w:hideMark/>
          </w:tcPr>
          <w:p w14:paraId="1BF6EECD" w14:textId="77777777" w:rsidR="00463EBD" w:rsidRPr="003A4ED5" w:rsidRDefault="00463EBD" w:rsidP="000A0A06">
            <w:pPr>
              <w:jc w:val="left"/>
              <w:rPr>
                <w:color w:val="000000"/>
                <w:sz w:val="20"/>
                <w:szCs w:val="20"/>
              </w:rPr>
            </w:pPr>
            <w:r w:rsidRPr="003A4ED5">
              <w:rPr>
                <w:color w:val="000000"/>
                <w:sz w:val="20"/>
                <w:szCs w:val="20"/>
              </w:rPr>
              <w:t>17.7</w:t>
            </w:r>
          </w:p>
        </w:tc>
        <w:tc>
          <w:tcPr>
            <w:tcW w:w="709" w:type="dxa"/>
            <w:shd w:val="clear" w:color="auto" w:fill="auto"/>
            <w:noWrap/>
            <w:hideMark/>
          </w:tcPr>
          <w:p w14:paraId="6B33DC7A" w14:textId="77777777" w:rsidR="00463EBD" w:rsidRPr="003A4ED5" w:rsidRDefault="00463EBD" w:rsidP="000A0A06">
            <w:pPr>
              <w:jc w:val="left"/>
              <w:rPr>
                <w:color w:val="000000"/>
                <w:sz w:val="20"/>
                <w:szCs w:val="20"/>
              </w:rPr>
            </w:pPr>
            <w:r w:rsidRPr="003A4ED5">
              <w:rPr>
                <w:color w:val="000000"/>
                <w:sz w:val="20"/>
                <w:szCs w:val="20"/>
              </w:rPr>
              <w:t>5.4</w:t>
            </w:r>
          </w:p>
        </w:tc>
        <w:tc>
          <w:tcPr>
            <w:tcW w:w="850" w:type="dxa"/>
            <w:shd w:val="clear" w:color="auto" w:fill="auto"/>
            <w:noWrap/>
            <w:hideMark/>
          </w:tcPr>
          <w:p w14:paraId="3F9E2264" w14:textId="77777777" w:rsidR="00463EBD" w:rsidRPr="003A4ED5" w:rsidRDefault="00463EBD" w:rsidP="000A0A06">
            <w:pPr>
              <w:jc w:val="left"/>
              <w:rPr>
                <w:color w:val="000000"/>
                <w:sz w:val="20"/>
                <w:szCs w:val="20"/>
              </w:rPr>
            </w:pPr>
            <w:r w:rsidRPr="003A4ED5">
              <w:rPr>
                <w:color w:val="000000"/>
                <w:sz w:val="20"/>
                <w:szCs w:val="20"/>
              </w:rPr>
              <w:t>22.7</w:t>
            </w:r>
          </w:p>
        </w:tc>
        <w:tc>
          <w:tcPr>
            <w:tcW w:w="851" w:type="dxa"/>
            <w:shd w:val="clear" w:color="auto" w:fill="auto"/>
            <w:noWrap/>
            <w:hideMark/>
          </w:tcPr>
          <w:p w14:paraId="309A29B9" w14:textId="77777777" w:rsidR="00463EBD" w:rsidRPr="003A4ED5" w:rsidRDefault="00463EBD" w:rsidP="000A0A06">
            <w:pPr>
              <w:jc w:val="left"/>
              <w:rPr>
                <w:color w:val="000000"/>
                <w:sz w:val="20"/>
                <w:szCs w:val="20"/>
              </w:rPr>
            </w:pPr>
            <w:r w:rsidRPr="003A4ED5">
              <w:rPr>
                <w:color w:val="000000"/>
                <w:sz w:val="20"/>
                <w:szCs w:val="20"/>
              </w:rPr>
              <w:t>23.8</w:t>
            </w:r>
          </w:p>
        </w:tc>
      </w:tr>
      <w:tr w:rsidR="00463EBD" w:rsidRPr="003A4ED5" w14:paraId="7E5ED3F5" w14:textId="77777777" w:rsidTr="000A0A06">
        <w:trPr>
          <w:trHeight w:val="300"/>
          <w:jc w:val="center"/>
        </w:trPr>
        <w:tc>
          <w:tcPr>
            <w:tcW w:w="1636" w:type="dxa"/>
            <w:shd w:val="clear" w:color="auto" w:fill="auto"/>
            <w:noWrap/>
            <w:hideMark/>
          </w:tcPr>
          <w:p w14:paraId="0FE18B0B" w14:textId="77777777" w:rsidR="00463EBD" w:rsidRPr="003A4ED5" w:rsidRDefault="00463EBD" w:rsidP="000A0A06">
            <w:pPr>
              <w:jc w:val="left"/>
              <w:rPr>
                <w:color w:val="000000"/>
                <w:sz w:val="20"/>
                <w:szCs w:val="20"/>
              </w:rPr>
            </w:pPr>
            <w:proofErr w:type="spellStart"/>
            <w:r w:rsidRPr="003A4ED5">
              <w:rPr>
                <w:color w:val="000000"/>
                <w:sz w:val="20"/>
                <w:szCs w:val="20"/>
              </w:rPr>
              <w:t>Chhatarpur</w:t>
            </w:r>
            <w:proofErr w:type="spellEnd"/>
          </w:p>
        </w:tc>
        <w:tc>
          <w:tcPr>
            <w:tcW w:w="709" w:type="dxa"/>
            <w:shd w:val="clear" w:color="auto" w:fill="auto"/>
            <w:noWrap/>
            <w:hideMark/>
          </w:tcPr>
          <w:p w14:paraId="5A9FD300" w14:textId="77777777" w:rsidR="00463EBD" w:rsidRPr="003A4ED5" w:rsidRDefault="00463EBD" w:rsidP="000A0A06">
            <w:pPr>
              <w:jc w:val="left"/>
              <w:rPr>
                <w:color w:val="000000"/>
                <w:sz w:val="20"/>
                <w:szCs w:val="20"/>
              </w:rPr>
            </w:pPr>
            <w:r w:rsidRPr="003A4ED5">
              <w:rPr>
                <w:color w:val="000000"/>
                <w:sz w:val="20"/>
                <w:szCs w:val="20"/>
              </w:rPr>
              <w:t>20.8</w:t>
            </w:r>
          </w:p>
        </w:tc>
        <w:tc>
          <w:tcPr>
            <w:tcW w:w="709" w:type="dxa"/>
            <w:shd w:val="clear" w:color="auto" w:fill="auto"/>
            <w:noWrap/>
            <w:hideMark/>
          </w:tcPr>
          <w:p w14:paraId="406E9512" w14:textId="77777777" w:rsidR="00463EBD" w:rsidRPr="003A4ED5" w:rsidRDefault="00463EBD" w:rsidP="000A0A06">
            <w:pPr>
              <w:jc w:val="left"/>
              <w:rPr>
                <w:color w:val="000000"/>
                <w:sz w:val="20"/>
                <w:szCs w:val="20"/>
              </w:rPr>
            </w:pPr>
            <w:r w:rsidRPr="003A4ED5">
              <w:rPr>
                <w:color w:val="000000"/>
                <w:sz w:val="20"/>
                <w:szCs w:val="20"/>
              </w:rPr>
              <w:t>80.3</w:t>
            </w:r>
          </w:p>
        </w:tc>
        <w:tc>
          <w:tcPr>
            <w:tcW w:w="709" w:type="dxa"/>
            <w:shd w:val="clear" w:color="auto" w:fill="auto"/>
            <w:noWrap/>
            <w:hideMark/>
          </w:tcPr>
          <w:p w14:paraId="6D59A6DB" w14:textId="77777777" w:rsidR="00463EBD" w:rsidRPr="003A4ED5" w:rsidRDefault="00463EBD" w:rsidP="000A0A06">
            <w:pPr>
              <w:jc w:val="left"/>
              <w:rPr>
                <w:color w:val="000000"/>
                <w:sz w:val="20"/>
                <w:szCs w:val="20"/>
              </w:rPr>
            </w:pPr>
            <w:r w:rsidRPr="003A4ED5">
              <w:rPr>
                <w:color w:val="000000"/>
                <w:sz w:val="20"/>
                <w:szCs w:val="20"/>
              </w:rPr>
              <w:t>2.1</w:t>
            </w:r>
          </w:p>
        </w:tc>
        <w:tc>
          <w:tcPr>
            <w:tcW w:w="708" w:type="dxa"/>
            <w:shd w:val="clear" w:color="auto" w:fill="auto"/>
            <w:noWrap/>
            <w:hideMark/>
          </w:tcPr>
          <w:p w14:paraId="23631F2A" w14:textId="77777777" w:rsidR="00463EBD" w:rsidRPr="003A4ED5" w:rsidRDefault="00463EBD" w:rsidP="000A0A06">
            <w:pPr>
              <w:jc w:val="left"/>
              <w:rPr>
                <w:color w:val="000000"/>
                <w:sz w:val="20"/>
                <w:szCs w:val="20"/>
              </w:rPr>
            </w:pPr>
            <w:r w:rsidRPr="003A4ED5">
              <w:rPr>
                <w:color w:val="000000"/>
                <w:sz w:val="20"/>
                <w:szCs w:val="20"/>
              </w:rPr>
              <w:t>8.1</w:t>
            </w:r>
          </w:p>
        </w:tc>
        <w:tc>
          <w:tcPr>
            <w:tcW w:w="709" w:type="dxa"/>
            <w:shd w:val="clear" w:color="auto" w:fill="auto"/>
            <w:noWrap/>
            <w:hideMark/>
          </w:tcPr>
          <w:p w14:paraId="2CAF4E9F" w14:textId="77777777" w:rsidR="00463EBD" w:rsidRPr="003A4ED5" w:rsidRDefault="00463EBD" w:rsidP="000A0A06">
            <w:pPr>
              <w:jc w:val="left"/>
              <w:rPr>
                <w:color w:val="000000"/>
                <w:sz w:val="20"/>
                <w:szCs w:val="20"/>
              </w:rPr>
            </w:pPr>
            <w:r w:rsidRPr="003A4ED5">
              <w:rPr>
                <w:color w:val="000000"/>
                <w:sz w:val="20"/>
                <w:szCs w:val="20"/>
              </w:rPr>
              <w:t>3</w:t>
            </w:r>
          </w:p>
        </w:tc>
        <w:tc>
          <w:tcPr>
            <w:tcW w:w="709" w:type="dxa"/>
            <w:shd w:val="clear" w:color="auto" w:fill="auto"/>
            <w:noWrap/>
            <w:hideMark/>
          </w:tcPr>
          <w:p w14:paraId="5C6804B9" w14:textId="77777777" w:rsidR="00463EBD" w:rsidRPr="003A4ED5" w:rsidRDefault="00463EBD" w:rsidP="000A0A06">
            <w:pPr>
              <w:jc w:val="left"/>
              <w:rPr>
                <w:color w:val="000000"/>
                <w:sz w:val="20"/>
                <w:szCs w:val="20"/>
              </w:rPr>
            </w:pPr>
            <w:r w:rsidRPr="003A4ED5">
              <w:rPr>
                <w:color w:val="000000"/>
                <w:sz w:val="20"/>
                <w:szCs w:val="20"/>
              </w:rPr>
              <w:t>11.6</w:t>
            </w:r>
          </w:p>
        </w:tc>
        <w:tc>
          <w:tcPr>
            <w:tcW w:w="709" w:type="dxa"/>
            <w:shd w:val="clear" w:color="auto" w:fill="auto"/>
            <w:noWrap/>
            <w:hideMark/>
          </w:tcPr>
          <w:p w14:paraId="1D8A1AAE" w14:textId="77777777" w:rsidR="00463EBD" w:rsidRPr="003A4ED5" w:rsidRDefault="00463EBD" w:rsidP="000A0A06">
            <w:pPr>
              <w:jc w:val="left"/>
              <w:rPr>
                <w:color w:val="000000"/>
                <w:sz w:val="20"/>
                <w:szCs w:val="20"/>
              </w:rPr>
            </w:pPr>
            <w:r w:rsidRPr="003A4ED5">
              <w:rPr>
                <w:color w:val="000000"/>
                <w:sz w:val="20"/>
                <w:szCs w:val="20"/>
              </w:rPr>
              <w:t>5.1</w:t>
            </w:r>
          </w:p>
        </w:tc>
        <w:tc>
          <w:tcPr>
            <w:tcW w:w="850" w:type="dxa"/>
            <w:shd w:val="clear" w:color="auto" w:fill="auto"/>
            <w:noWrap/>
            <w:hideMark/>
          </w:tcPr>
          <w:p w14:paraId="562E4726" w14:textId="77777777" w:rsidR="00463EBD" w:rsidRPr="003A4ED5" w:rsidRDefault="00463EBD" w:rsidP="000A0A06">
            <w:pPr>
              <w:jc w:val="left"/>
              <w:rPr>
                <w:color w:val="000000"/>
                <w:sz w:val="20"/>
                <w:szCs w:val="20"/>
              </w:rPr>
            </w:pPr>
            <w:r w:rsidRPr="003A4ED5">
              <w:rPr>
                <w:color w:val="000000"/>
                <w:sz w:val="20"/>
                <w:szCs w:val="20"/>
              </w:rPr>
              <w:t>19.7</w:t>
            </w:r>
          </w:p>
        </w:tc>
        <w:tc>
          <w:tcPr>
            <w:tcW w:w="851" w:type="dxa"/>
            <w:shd w:val="clear" w:color="auto" w:fill="auto"/>
            <w:noWrap/>
            <w:hideMark/>
          </w:tcPr>
          <w:p w14:paraId="486C50A6" w14:textId="77777777" w:rsidR="00463EBD" w:rsidRPr="003A4ED5" w:rsidRDefault="00463EBD" w:rsidP="000A0A06">
            <w:pPr>
              <w:jc w:val="left"/>
              <w:rPr>
                <w:color w:val="000000"/>
                <w:sz w:val="20"/>
                <w:szCs w:val="20"/>
              </w:rPr>
            </w:pPr>
            <w:r w:rsidRPr="003A4ED5">
              <w:rPr>
                <w:color w:val="000000"/>
                <w:sz w:val="20"/>
                <w:szCs w:val="20"/>
              </w:rPr>
              <w:t>25.9</w:t>
            </w:r>
          </w:p>
        </w:tc>
      </w:tr>
      <w:tr w:rsidR="00463EBD" w:rsidRPr="003A4ED5" w14:paraId="6E661227" w14:textId="77777777" w:rsidTr="000A0A06">
        <w:trPr>
          <w:trHeight w:val="300"/>
          <w:jc w:val="center"/>
        </w:trPr>
        <w:tc>
          <w:tcPr>
            <w:tcW w:w="1636" w:type="dxa"/>
            <w:shd w:val="clear" w:color="auto" w:fill="auto"/>
            <w:noWrap/>
            <w:hideMark/>
          </w:tcPr>
          <w:p w14:paraId="16F64E2D" w14:textId="77777777" w:rsidR="00463EBD" w:rsidRPr="003A4ED5" w:rsidRDefault="00463EBD" w:rsidP="000A0A06">
            <w:pPr>
              <w:jc w:val="left"/>
              <w:rPr>
                <w:color w:val="000000"/>
                <w:sz w:val="20"/>
                <w:szCs w:val="20"/>
              </w:rPr>
            </w:pPr>
            <w:proofErr w:type="spellStart"/>
            <w:r w:rsidRPr="003A4ED5">
              <w:rPr>
                <w:color w:val="000000"/>
                <w:sz w:val="20"/>
                <w:szCs w:val="20"/>
              </w:rPr>
              <w:t>Vishwavidyalay</w:t>
            </w:r>
            <w:proofErr w:type="spellEnd"/>
          </w:p>
        </w:tc>
        <w:tc>
          <w:tcPr>
            <w:tcW w:w="709" w:type="dxa"/>
            <w:shd w:val="clear" w:color="auto" w:fill="auto"/>
            <w:noWrap/>
            <w:hideMark/>
          </w:tcPr>
          <w:p w14:paraId="0221C4AE" w14:textId="77777777" w:rsidR="00463EBD" w:rsidRPr="003A4ED5" w:rsidRDefault="00463EBD" w:rsidP="000A0A06">
            <w:pPr>
              <w:jc w:val="left"/>
              <w:rPr>
                <w:color w:val="000000"/>
                <w:sz w:val="20"/>
                <w:szCs w:val="20"/>
              </w:rPr>
            </w:pPr>
            <w:r w:rsidRPr="003A4ED5">
              <w:rPr>
                <w:color w:val="000000"/>
                <w:sz w:val="20"/>
                <w:szCs w:val="20"/>
              </w:rPr>
              <w:t>21.3</w:t>
            </w:r>
          </w:p>
        </w:tc>
        <w:tc>
          <w:tcPr>
            <w:tcW w:w="709" w:type="dxa"/>
            <w:shd w:val="clear" w:color="auto" w:fill="auto"/>
            <w:noWrap/>
            <w:hideMark/>
          </w:tcPr>
          <w:p w14:paraId="648300C1" w14:textId="77777777" w:rsidR="00463EBD" w:rsidRPr="003A4ED5" w:rsidRDefault="00463EBD" w:rsidP="000A0A06">
            <w:pPr>
              <w:jc w:val="left"/>
              <w:rPr>
                <w:color w:val="000000"/>
                <w:sz w:val="20"/>
                <w:szCs w:val="20"/>
              </w:rPr>
            </w:pPr>
            <w:r w:rsidRPr="003A4ED5">
              <w:rPr>
                <w:color w:val="000000"/>
                <w:sz w:val="20"/>
                <w:szCs w:val="20"/>
              </w:rPr>
              <w:t>80.1</w:t>
            </w:r>
          </w:p>
        </w:tc>
        <w:tc>
          <w:tcPr>
            <w:tcW w:w="709" w:type="dxa"/>
            <w:shd w:val="clear" w:color="auto" w:fill="auto"/>
            <w:noWrap/>
            <w:hideMark/>
          </w:tcPr>
          <w:p w14:paraId="10C0D924" w14:textId="77777777" w:rsidR="00463EBD" w:rsidRPr="003A4ED5" w:rsidRDefault="00463EBD" w:rsidP="000A0A06">
            <w:pPr>
              <w:jc w:val="left"/>
              <w:rPr>
                <w:color w:val="000000"/>
                <w:sz w:val="20"/>
                <w:szCs w:val="20"/>
              </w:rPr>
            </w:pPr>
            <w:r w:rsidRPr="003A4ED5">
              <w:rPr>
                <w:color w:val="000000"/>
                <w:sz w:val="20"/>
                <w:szCs w:val="20"/>
              </w:rPr>
              <w:t>2.7</w:t>
            </w:r>
          </w:p>
        </w:tc>
        <w:tc>
          <w:tcPr>
            <w:tcW w:w="708" w:type="dxa"/>
            <w:shd w:val="clear" w:color="auto" w:fill="auto"/>
            <w:noWrap/>
            <w:hideMark/>
          </w:tcPr>
          <w:p w14:paraId="5156E935" w14:textId="77777777" w:rsidR="00463EBD" w:rsidRPr="003A4ED5" w:rsidRDefault="00463EBD" w:rsidP="000A0A06">
            <w:pPr>
              <w:jc w:val="left"/>
              <w:rPr>
                <w:color w:val="000000"/>
                <w:sz w:val="20"/>
                <w:szCs w:val="20"/>
              </w:rPr>
            </w:pPr>
            <w:r w:rsidRPr="003A4ED5">
              <w:rPr>
                <w:color w:val="000000"/>
                <w:sz w:val="20"/>
                <w:szCs w:val="20"/>
              </w:rPr>
              <w:t>8.1</w:t>
            </w:r>
          </w:p>
        </w:tc>
        <w:tc>
          <w:tcPr>
            <w:tcW w:w="709" w:type="dxa"/>
            <w:shd w:val="clear" w:color="auto" w:fill="auto"/>
            <w:noWrap/>
            <w:hideMark/>
          </w:tcPr>
          <w:p w14:paraId="0E3D79C3" w14:textId="77777777" w:rsidR="00463EBD" w:rsidRPr="003A4ED5" w:rsidRDefault="00463EBD" w:rsidP="000A0A06">
            <w:pPr>
              <w:jc w:val="left"/>
              <w:rPr>
                <w:color w:val="000000"/>
                <w:sz w:val="20"/>
                <w:szCs w:val="20"/>
              </w:rPr>
            </w:pPr>
            <w:r w:rsidRPr="003A4ED5">
              <w:rPr>
                <w:color w:val="000000"/>
                <w:sz w:val="20"/>
                <w:szCs w:val="20"/>
              </w:rPr>
              <w:t>2.6</w:t>
            </w:r>
          </w:p>
        </w:tc>
        <w:tc>
          <w:tcPr>
            <w:tcW w:w="709" w:type="dxa"/>
            <w:shd w:val="clear" w:color="auto" w:fill="auto"/>
            <w:noWrap/>
            <w:hideMark/>
          </w:tcPr>
          <w:p w14:paraId="6774E9B5" w14:textId="77777777" w:rsidR="00463EBD" w:rsidRPr="003A4ED5" w:rsidRDefault="00463EBD" w:rsidP="000A0A06">
            <w:pPr>
              <w:jc w:val="left"/>
              <w:rPr>
                <w:color w:val="000000"/>
                <w:sz w:val="20"/>
                <w:szCs w:val="20"/>
              </w:rPr>
            </w:pPr>
            <w:r w:rsidRPr="003A4ED5">
              <w:rPr>
                <w:color w:val="000000"/>
                <w:sz w:val="20"/>
                <w:szCs w:val="20"/>
              </w:rPr>
              <w:t>9.7</w:t>
            </w:r>
          </w:p>
        </w:tc>
        <w:tc>
          <w:tcPr>
            <w:tcW w:w="709" w:type="dxa"/>
            <w:shd w:val="clear" w:color="auto" w:fill="auto"/>
            <w:noWrap/>
            <w:hideMark/>
          </w:tcPr>
          <w:p w14:paraId="0B36A39E" w14:textId="77777777" w:rsidR="00463EBD" w:rsidRPr="003A4ED5" w:rsidRDefault="00463EBD" w:rsidP="000A0A06">
            <w:pPr>
              <w:jc w:val="left"/>
              <w:rPr>
                <w:color w:val="000000"/>
                <w:sz w:val="20"/>
                <w:szCs w:val="20"/>
              </w:rPr>
            </w:pPr>
            <w:r w:rsidRPr="003A4ED5">
              <w:rPr>
                <w:color w:val="000000"/>
                <w:sz w:val="20"/>
                <w:szCs w:val="20"/>
              </w:rPr>
              <w:t>5.3</w:t>
            </w:r>
          </w:p>
        </w:tc>
        <w:tc>
          <w:tcPr>
            <w:tcW w:w="850" w:type="dxa"/>
            <w:shd w:val="clear" w:color="auto" w:fill="auto"/>
            <w:noWrap/>
            <w:hideMark/>
          </w:tcPr>
          <w:p w14:paraId="4A2F963A" w14:textId="77777777" w:rsidR="00463EBD" w:rsidRPr="003A4ED5" w:rsidRDefault="00463EBD" w:rsidP="000A0A06">
            <w:pPr>
              <w:jc w:val="left"/>
              <w:rPr>
                <w:color w:val="000000"/>
                <w:sz w:val="20"/>
                <w:szCs w:val="20"/>
              </w:rPr>
            </w:pPr>
            <w:r w:rsidRPr="003A4ED5">
              <w:rPr>
                <w:color w:val="000000"/>
                <w:sz w:val="20"/>
                <w:szCs w:val="20"/>
              </w:rPr>
              <w:t>17.8</w:t>
            </w:r>
          </w:p>
        </w:tc>
        <w:tc>
          <w:tcPr>
            <w:tcW w:w="851" w:type="dxa"/>
            <w:shd w:val="clear" w:color="auto" w:fill="auto"/>
            <w:noWrap/>
            <w:hideMark/>
          </w:tcPr>
          <w:p w14:paraId="1EA300E5" w14:textId="77777777" w:rsidR="00463EBD" w:rsidRPr="003A4ED5" w:rsidRDefault="00463EBD" w:rsidP="000A0A06">
            <w:pPr>
              <w:jc w:val="left"/>
              <w:rPr>
                <w:color w:val="000000"/>
                <w:sz w:val="20"/>
                <w:szCs w:val="20"/>
              </w:rPr>
            </w:pPr>
            <w:r w:rsidRPr="003A4ED5">
              <w:rPr>
                <w:color w:val="000000"/>
                <w:sz w:val="20"/>
                <w:szCs w:val="20"/>
              </w:rPr>
              <w:t>26.6</w:t>
            </w:r>
          </w:p>
        </w:tc>
      </w:tr>
      <w:tr w:rsidR="00463EBD" w:rsidRPr="003A4ED5" w14:paraId="0F337561" w14:textId="77777777" w:rsidTr="000A0A06">
        <w:trPr>
          <w:trHeight w:val="300"/>
          <w:jc w:val="center"/>
        </w:trPr>
        <w:tc>
          <w:tcPr>
            <w:tcW w:w="1636" w:type="dxa"/>
            <w:shd w:val="clear" w:color="auto" w:fill="auto"/>
            <w:noWrap/>
            <w:hideMark/>
          </w:tcPr>
          <w:p w14:paraId="5CD34E83" w14:textId="77777777" w:rsidR="00463EBD" w:rsidRPr="003A4ED5" w:rsidRDefault="00463EBD" w:rsidP="000A0A06">
            <w:pPr>
              <w:jc w:val="left"/>
              <w:rPr>
                <w:color w:val="000000"/>
                <w:sz w:val="20"/>
                <w:szCs w:val="20"/>
              </w:rPr>
            </w:pPr>
            <w:proofErr w:type="spellStart"/>
            <w:r w:rsidRPr="003A4ED5">
              <w:rPr>
                <w:color w:val="000000"/>
                <w:sz w:val="20"/>
                <w:szCs w:val="20"/>
              </w:rPr>
              <w:t>Akshardham</w:t>
            </w:r>
            <w:proofErr w:type="spellEnd"/>
          </w:p>
        </w:tc>
        <w:tc>
          <w:tcPr>
            <w:tcW w:w="709" w:type="dxa"/>
            <w:shd w:val="clear" w:color="auto" w:fill="auto"/>
            <w:noWrap/>
            <w:hideMark/>
          </w:tcPr>
          <w:p w14:paraId="3177EA9B" w14:textId="77777777" w:rsidR="00463EBD" w:rsidRPr="003A4ED5" w:rsidRDefault="00463EBD" w:rsidP="000A0A06">
            <w:pPr>
              <w:jc w:val="left"/>
              <w:rPr>
                <w:color w:val="000000"/>
                <w:sz w:val="20"/>
                <w:szCs w:val="20"/>
              </w:rPr>
            </w:pPr>
            <w:r w:rsidRPr="003A4ED5">
              <w:rPr>
                <w:color w:val="000000"/>
                <w:sz w:val="20"/>
                <w:szCs w:val="20"/>
              </w:rPr>
              <w:t>17.3</w:t>
            </w:r>
          </w:p>
        </w:tc>
        <w:tc>
          <w:tcPr>
            <w:tcW w:w="709" w:type="dxa"/>
            <w:shd w:val="clear" w:color="auto" w:fill="auto"/>
            <w:noWrap/>
            <w:hideMark/>
          </w:tcPr>
          <w:p w14:paraId="60700F2D" w14:textId="77777777" w:rsidR="00463EBD" w:rsidRPr="003A4ED5" w:rsidRDefault="00463EBD" w:rsidP="000A0A06">
            <w:pPr>
              <w:jc w:val="left"/>
              <w:rPr>
                <w:color w:val="000000"/>
                <w:sz w:val="20"/>
                <w:szCs w:val="20"/>
              </w:rPr>
            </w:pPr>
            <w:r w:rsidRPr="003A4ED5">
              <w:rPr>
                <w:color w:val="000000"/>
                <w:sz w:val="20"/>
                <w:szCs w:val="20"/>
              </w:rPr>
              <w:t>86.5</w:t>
            </w:r>
          </w:p>
        </w:tc>
        <w:tc>
          <w:tcPr>
            <w:tcW w:w="709" w:type="dxa"/>
            <w:shd w:val="clear" w:color="auto" w:fill="auto"/>
            <w:noWrap/>
            <w:hideMark/>
          </w:tcPr>
          <w:p w14:paraId="46032D81" w14:textId="77777777" w:rsidR="00463EBD" w:rsidRPr="003A4ED5" w:rsidRDefault="00463EBD" w:rsidP="000A0A06">
            <w:pPr>
              <w:jc w:val="left"/>
              <w:rPr>
                <w:color w:val="000000"/>
                <w:sz w:val="20"/>
                <w:szCs w:val="20"/>
              </w:rPr>
            </w:pPr>
            <w:r w:rsidRPr="003A4ED5">
              <w:rPr>
                <w:color w:val="000000"/>
                <w:sz w:val="20"/>
                <w:szCs w:val="20"/>
              </w:rPr>
              <w:t>2</w:t>
            </w:r>
          </w:p>
        </w:tc>
        <w:tc>
          <w:tcPr>
            <w:tcW w:w="708" w:type="dxa"/>
            <w:shd w:val="clear" w:color="auto" w:fill="auto"/>
            <w:noWrap/>
            <w:hideMark/>
          </w:tcPr>
          <w:p w14:paraId="02F586E2" w14:textId="77777777" w:rsidR="00463EBD" w:rsidRPr="003A4ED5" w:rsidRDefault="00463EBD" w:rsidP="000A0A06">
            <w:pPr>
              <w:jc w:val="left"/>
              <w:rPr>
                <w:color w:val="000000"/>
                <w:sz w:val="20"/>
                <w:szCs w:val="20"/>
              </w:rPr>
            </w:pPr>
            <w:r w:rsidRPr="003A4ED5">
              <w:rPr>
                <w:color w:val="000000"/>
                <w:sz w:val="20"/>
                <w:szCs w:val="20"/>
              </w:rPr>
              <w:t>10</w:t>
            </w:r>
          </w:p>
        </w:tc>
        <w:tc>
          <w:tcPr>
            <w:tcW w:w="709" w:type="dxa"/>
            <w:shd w:val="clear" w:color="auto" w:fill="auto"/>
            <w:noWrap/>
            <w:hideMark/>
          </w:tcPr>
          <w:p w14:paraId="2044377D" w14:textId="77777777" w:rsidR="00463EBD" w:rsidRPr="003A4ED5" w:rsidRDefault="00463EBD" w:rsidP="000A0A06">
            <w:pPr>
              <w:jc w:val="left"/>
              <w:rPr>
                <w:color w:val="000000"/>
                <w:sz w:val="20"/>
                <w:szCs w:val="20"/>
              </w:rPr>
            </w:pPr>
            <w:r w:rsidRPr="003A4ED5">
              <w:rPr>
                <w:color w:val="000000"/>
                <w:sz w:val="20"/>
                <w:szCs w:val="20"/>
              </w:rPr>
              <w:t>0.7</w:t>
            </w:r>
          </w:p>
        </w:tc>
        <w:tc>
          <w:tcPr>
            <w:tcW w:w="709" w:type="dxa"/>
            <w:shd w:val="clear" w:color="auto" w:fill="auto"/>
            <w:noWrap/>
            <w:hideMark/>
          </w:tcPr>
          <w:p w14:paraId="74117067" w14:textId="77777777" w:rsidR="00463EBD" w:rsidRPr="003A4ED5" w:rsidRDefault="00463EBD" w:rsidP="000A0A06">
            <w:pPr>
              <w:jc w:val="left"/>
              <w:rPr>
                <w:color w:val="000000"/>
                <w:sz w:val="20"/>
                <w:szCs w:val="20"/>
              </w:rPr>
            </w:pPr>
            <w:r w:rsidRPr="003A4ED5">
              <w:rPr>
                <w:color w:val="000000"/>
                <w:sz w:val="20"/>
                <w:szCs w:val="20"/>
              </w:rPr>
              <w:t>3.5</w:t>
            </w:r>
          </w:p>
        </w:tc>
        <w:tc>
          <w:tcPr>
            <w:tcW w:w="709" w:type="dxa"/>
            <w:shd w:val="clear" w:color="auto" w:fill="auto"/>
            <w:noWrap/>
            <w:hideMark/>
          </w:tcPr>
          <w:p w14:paraId="5C1226E3" w14:textId="77777777" w:rsidR="00463EBD" w:rsidRPr="003A4ED5" w:rsidRDefault="00463EBD" w:rsidP="000A0A06">
            <w:pPr>
              <w:jc w:val="left"/>
              <w:rPr>
                <w:color w:val="000000"/>
                <w:sz w:val="20"/>
                <w:szCs w:val="20"/>
              </w:rPr>
            </w:pPr>
            <w:r w:rsidRPr="003A4ED5">
              <w:rPr>
                <w:color w:val="000000"/>
                <w:sz w:val="20"/>
                <w:szCs w:val="20"/>
              </w:rPr>
              <w:t>2.7</w:t>
            </w:r>
          </w:p>
        </w:tc>
        <w:tc>
          <w:tcPr>
            <w:tcW w:w="850" w:type="dxa"/>
            <w:shd w:val="clear" w:color="auto" w:fill="auto"/>
            <w:noWrap/>
            <w:hideMark/>
          </w:tcPr>
          <w:p w14:paraId="3F6ABBE4" w14:textId="77777777" w:rsidR="00463EBD" w:rsidRPr="003A4ED5" w:rsidRDefault="00463EBD" w:rsidP="000A0A06">
            <w:pPr>
              <w:jc w:val="left"/>
              <w:rPr>
                <w:color w:val="000000"/>
                <w:sz w:val="20"/>
                <w:szCs w:val="20"/>
              </w:rPr>
            </w:pPr>
            <w:r w:rsidRPr="003A4ED5">
              <w:rPr>
                <w:color w:val="000000"/>
                <w:sz w:val="20"/>
                <w:szCs w:val="20"/>
              </w:rPr>
              <w:t>13.5</w:t>
            </w:r>
          </w:p>
        </w:tc>
        <w:tc>
          <w:tcPr>
            <w:tcW w:w="851" w:type="dxa"/>
            <w:shd w:val="clear" w:color="auto" w:fill="auto"/>
            <w:noWrap/>
            <w:hideMark/>
          </w:tcPr>
          <w:p w14:paraId="7CB6E31B" w14:textId="77777777" w:rsidR="00463EBD" w:rsidRPr="003A4ED5" w:rsidRDefault="00463EBD" w:rsidP="000A0A06">
            <w:pPr>
              <w:jc w:val="left"/>
              <w:rPr>
                <w:color w:val="000000"/>
                <w:sz w:val="20"/>
                <w:szCs w:val="20"/>
              </w:rPr>
            </w:pPr>
            <w:r w:rsidRPr="003A4ED5">
              <w:rPr>
                <w:color w:val="000000"/>
                <w:sz w:val="20"/>
                <w:szCs w:val="20"/>
              </w:rPr>
              <w:t>20.0</w:t>
            </w:r>
          </w:p>
        </w:tc>
      </w:tr>
    </w:tbl>
    <w:p w14:paraId="442AB360" w14:textId="77777777" w:rsidR="00463EBD" w:rsidRPr="00727398" w:rsidRDefault="00463EBD" w:rsidP="00463EBD">
      <w:pPr>
        <w:ind w:firstLine="284"/>
        <w:rPr>
          <w:i/>
          <w:sz w:val="20"/>
          <w:szCs w:val="20"/>
        </w:rPr>
      </w:pPr>
      <w:r w:rsidRPr="00727398">
        <w:rPr>
          <w:i/>
          <w:sz w:val="20"/>
          <w:szCs w:val="20"/>
        </w:rPr>
        <w:t>Source: Primary Survey, 2015</w:t>
      </w:r>
    </w:p>
    <w:p w14:paraId="35303900" w14:textId="77777777" w:rsidR="00463EBD" w:rsidRPr="002F1225" w:rsidRDefault="00463EBD" w:rsidP="00463EBD"/>
    <w:p w14:paraId="160787A6" w14:textId="748BEE84" w:rsidR="00463EBD" w:rsidRPr="002F1225" w:rsidRDefault="00463EBD" w:rsidP="00463EBD">
      <w:pPr>
        <w:ind w:firstLine="284"/>
      </w:pPr>
      <w:r w:rsidRPr="002F1225">
        <w:t xml:space="preserve">The average trip length for the first and last mile, although relatively lesser for stations located in the centre of the city (2.5km for </w:t>
      </w:r>
      <w:proofErr w:type="spellStart"/>
      <w:r w:rsidRPr="002F1225">
        <w:t>Chandni</w:t>
      </w:r>
      <w:proofErr w:type="spellEnd"/>
      <w:r w:rsidRPr="002F1225">
        <w:t xml:space="preserve"> </w:t>
      </w:r>
      <w:proofErr w:type="spellStart"/>
      <w:r w:rsidRPr="002F1225">
        <w:t>Chowk</w:t>
      </w:r>
      <w:proofErr w:type="spellEnd"/>
      <w:r w:rsidRPr="002F1225">
        <w:t xml:space="preserve"> and 3.2 km for Rajiv </w:t>
      </w:r>
      <w:proofErr w:type="spellStart"/>
      <w:r w:rsidRPr="002F1225">
        <w:t>Chowk</w:t>
      </w:r>
      <w:proofErr w:type="spellEnd"/>
      <w:r w:rsidRPr="002F1225">
        <w:t xml:space="preserve">), it yet constitutes a significant percentage of the total journey (18.8% and 20.2% respectively). It is also interesting to note that commuters </w:t>
      </w:r>
      <w:r w:rsidR="00125E4E">
        <w:t>try to keep</w:t>
      </w:r>
      <w:r w:rsidRPr="002F1225">
        <w:t xml:space="preserve"> at least one end of the journey shorter, preferably less than 2 </w:t>
      </w:r>
      <w:proofErr w:type="spellStart"/>
      <w:r w:rsidRPr="002F1225">
        <w:t>kms</w:t>
      </w:r>
      <w:proofErr w:type="spellEnd"/>
      <w:r w:rsidRPr="002F1225">
        <w:t xml:space="preserve">, which is an easily negotiable distance for NMT.  </w:t>
      </w:r>
    </w:p>
    <w:p w14:paraId="39EBAC31" w14:textId="77777777" w:rsidR="00463EBD" w:rsidRPr="002F1225" w:rsidRDefault="00463EBD" w:rsidP="00463EBD"/>
    <w:p w14:paraId="2139B92E" w14:textId="77777777" w:rsidR="00463EBD" w:rsidRPr="00004C4B" w:rsidRDefault="00463EBD" w:rsidP="00463EBD">
      <w:pPr>
        <w:ind w:left="284"/>
        <w:jc w:val="center"/>
        <w:rPr>
          <w:sz w:val="22"/>
          <w:szCs w:val="22"/>
        </w:rPr>
      </w:pPr>
      <w:r>
        <w:rPr>
          <w:noProof/>
          <w:sz w:val="22"/>
          <w:szCs w:val="22"/>
          <w:lang w:val="en-US"/>
        </w:rPr>
        <w:drawing>
          <wp:inline distT="0" distB="0" distL="0" distR="0" wp14:anchorId="791435DA" wp14:editId="1762EAAD">
            <wp:extent cx="2913888" cy="231648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png"/>
                    <pic:cNvPicPr/>
                  </pic:nvPicPr>
                  <pic:blipFill>
                    <a:blip r:embed="rId9">
                      <a:extLst>
                        <a:ext uri="{28A0092B-C50C-407E-A947-70E740481C1C}">
                          <a14:useLocalDpi xmlns:a14="http://schemas.microsoft.com/office/drawing/2010/main" val="0"/>
                        </a:ext>
                      </a:extLst>
                    </a:blip>
                    <a:stretch>
                      <a:fillRect/>
                    </a:stretch>
                  </pic:blipFill>
                  <pic:spPr>
                    <a:xfrm>
                      <a:off x="0" y="0"/>
                      <a:ext cx="2913888" cy="2316480"/>
                    </a:xfrm>
                    <a:prstGeom prst="rect">
                      <a:avLst/>
                    </a:prstGeom>
                  </pic:spPr>
                </pic:pic>
              </a:graphicData>
            </a:graphic>
          </wp:inline>
        </w:drawing>
      </w:r>
    </w:p>
    <w:p w14:paraId="3E81EA56" w14:textId="22BDA466" w:rsidR="00463EBD" w:rsidRPr="00E50166" w:rsidRDefault="00691FEA" w:rsidP="00463EBD">
      <w:pPr>
        <w:jc w:val="center"/>
        <w:rPr>
          <w:b/>
          <w:sz w:val="22"/>
          <w:szCs w:val="22"/>
        </w:rPr>
      </w:pPr>
      <w:r>
        <w:rPr>
          <w:b/>
          <w:sz w:val="22"/>
          <w:szCs w:val="22"/>
        </w:rPr>
        <w:t>Fig 5</w:t>
      </w:r>
      <w:r w:rsidR="00463EBD" w:rsidRPr="00E50166">
        <w:rPr>
          <w:b/>
          <w:sz w:val="22"/>
          <w:szCs w:val="22"/>
        </w:rPr>
        <w:t xml:space="preserve">.2 Average Trip Lengths (in </w:t>
      </w:r>
      <w:proofErr w:type="spellStart"/>
      <w:r w:rsidR="00463EBD" w:rsidRPr="00E50166">
        <w:rPr>
          <w:b/>
          <w:sz w:val="22"/>
          <w:szCs w:val="22"/>
        </w:rPr>
        <w:t>kms</w:t>
      </w:r>
      <w:proofErr w:type="spellEnd"/>
      <w:r w:rsidR="00463EBD" w:rsidRPr="00E50166">
        <w:rPr>
          <w:b/>
          <w:sz w:val="22"/>
          <w:szCs w:val="22"/>
        </w:rPr>
        <w:t>)</w:t>
      </w:r>
    </w:p>
    <w:p w14:paraId="1907A9CE" w14:textId="77777777" w:rsidR="00463EBD" w:rsidRPr="00004C4B" w:rsidRDefault="00463EBD" w:rsidP="00463EBD">
      <w:pPr>
        <w:rPr>
          <w:sz w:val="22"/>
          <w:szCs w:val="22"/>
        </w:rPr>
      </w:pPr>
    </w:p>
    <w:p w14:paraId="5609FF07" w14:textId="7C7D2BB7" w:rsidR="00463EBD" w:rsidRPr="002F1225" w:rsidRDefault="00691FEA" w:rsidP="00463EBD">
      <w:pPr>
        <w:ind w:firstLine="720"/>
      </w:pPr>
      <w:r>
        <w:t>It can be seen from Fig 5</w:t>
      </w:r>
      <w:r w:rsidR="00463EBD" w:rsidRPr="002F1225">
        <w:t xml:space="preserve">.2 that the last mile distance is higher for stations located in outlying areas (Noida city centre, </w:t>
      </w:r>
      <w:proofErr w:type="spellStart"/>
      <w:r w:rsidR="00463EBD" w:rsidRPr="002F1225">
        <w:t>Chhatarpur</w:t>
      </w:r>
      <w:proofErr w:type="spellEnd"/>
      <w:r w:rsidR="00463EBD" w:rsidRPr="002F1225">
        <w:t>), both in terms of absolute numbers (4.2</w:t>
      </w:r>
      <w:r w:rsidR="0029633A">
        <w:t xml:space="preserve"> </w:t>
      </w:r>
      <w:r w:rsidR="00463EBD" w:rsidRPr="002F1225">
        <w:t xml:space="preserve">km and 3 km respectively) and as a proportion of the total trip length (17.7% and 11.6% respectively). </w:t>
      </w:r>
      <w:r w:rsidR="00493761">
        <w:t xml:space="preserve">Yet, in these two stations having similar surrounding contexts, </w:t>
      </w:r>
      <w:r w:rsidR="0029633A">
        <w:t xml:space="preserve">while </w:t>
      </w:r>
      <w:r w:rsidR="00425967">
        <w:t xml:space="preserve">the share of walk trips is similar </w:t>
      </w:r>
      <w:r w:rsidR="00493761">
        <w:t xml:space="preserve">the </w:t>
      </w:r>
      <w:r w:rsidR="00425967">
        <w:t xml:space="preserve">dependence on motorised modes for LMC is higher in case of </w:t>
      </w:r>
      <w:proofErr w:type="spellStart"/>
      <w:r w:rsidR="00425967">
        <w:t>Chhatarpur</w:t>
      </w:r>
      <w:proofErr w:type="spellEnd"/>
      <w:r w:rsidR="0029633A">
        <w:t>, because of lack of NMT options</w:t>
      </w:r>
      <w:r w:rsidR="00425967">
        <w:t xml:space="preserve">. Thus </w:t>
      </w:r>
      <w:r w:rsidR="0029633A">
        <w:t xml:space="preserve">it indicates that </w:t>
      </w:r>
      <w:r w:rsidR="00425967">
        <w:t xml:space="preserve">provision of suitable options </w:t>
      </w:r>
      <w:r w:rsidR="0029633A">
        <w:t>does</w:t>
      </w:r>
      <w:r w:rsidR="00425967">
        <w:t xml:space="preserve"> shift the fulcrum towards more sustainable modes for covering the last mile. </w:t>
      </w:r>
    </w:p>
    <w:p w14:paraId="58899C6A" w14:textId="77777777" w:rsidR="00463EBD" w:rsidRPr="002F1225" w:rsidRDefault="00463EBD" w:rsidP="00463EBD"/>
    <w:p w14:paraId="3242656D" w14:textId="62EC3D9C" w:rsidR="00463EBD" w:rsidRPr="00D201C5" w:rsidRDefault="00D201C5" w:rsidP="00463EBD">
      <w:pPr>
        <w:rPr>
          <w:b/>
        </w:rPr>
      </w:pPr>
      <w:r w:rsidRPr="00D201C5">
        <w:rPr>
          <w:b/>
        </w:rPr>
        <w:t>5.3</w:t>
      </w:r>
      <w:r w:rsidR="00463EBD" w:rsidRPr="00D201C5">
        <w:rPr>
          <w:b/>
        </w:rPr>
        <w:t xml:space="preserve"> </w:t>
      </w:r>
      <w:r w:rsidR="00023B8F" w:rsidRPr="00D201C5">
        <w:rPr>
          <w:b/>
        </w:rPr>
        <w:t xml:space="preserve">Trip </w:t>
      </w:r>
      <w:r w:rsidR="00463EBD" w:rsidRPr="00D201C5">
        <w:rPr>
          <w:b/>
        </w:rPr>
        <w:t>Cost and Time</w:t>
      </w:r>
    </w:p>
    <w:p w14:paraId="3839D50C" w14:textId="77777777" w:rsidR="00463EBD" w:rsidRPr="002F1225" w:rsidRDefault="00463EBD" w:rsidP="00463EBD"/>
    <w:p w14:paraId="1DAF0E05" w14:textId="73FED97B" w:rsidR="00463EBD" w:rsidRPr="002F1225" w:rsidRDefault="00463EBD" w:rsidP="00463EBD">
      <w:r w:rsidRPr="002F1225">
        <w:t>The time and cost incurred in the last mile are important reflections of t</w:t>
      </w:r>
      <w:r w:rsidR="00D201C5">
        <w:t>he last mile connectivity. Fig 5</w:t>
      </w:r>
      <w:r w:rsidRPr="002F1225">
        <w:t xml:space="preserve">.3 (a)&amp;(b) indicate the proportion of cost and time spent in the first and last mile to the total journey. The time for each trip segment is inclusive of the waiting time incurred in that segment. It can be seen from the figure that in terms of absolute numbers, the cost and time spent in the last mile is maximum for stations located in outer areas, i.e., Noida City Centre and </w:t>
      </w:r>
      <w:proofErr w:type="spellStart"/>
      <w:r w:rsidRPr="002F1225">
        <w:t>Chhatarpur</w:t>
      </w:r>
      <w:proofErr w:type="spellEnd"/>
      <w:r w:rsidRPr="002F1225">
        <w:t>. This accrues from the larger trip lengths in these areas. However, for all stations combined, the average cost and time spent in the first and last mile is almost 50% of the total journey (49.7% and 47.7% respectively), indicating a poor quality of the last mile.</w:t>
      </w:r>
    </w:p>
    <w:p w14:paraId="5FB9956E" w14:textId="77777777" w:rsidR="00463EBD" w:rsidRDefault="00463EBD" w:rsidP="00463EBD">
      <w:pPr>
        <w:ind w:left="284"/>
        <w:rPr>
          <w:sz w:val="22"/>
          <w:szCs w:val="22"/>
        </w:rPr>
      </w:pPr>
    </w:p>
    <w:p w14:paraId="6DA67EF7" w14:textId="77777777" w:rsidR="00463EBD" w:rsidRPr="00004C4B" w:rsidRDefault="00463EBD" w:rsidP="00463EBD">
      <w:pPr>
        <w:jc w:val="center"/>
        <w:rPr>
          <w:sz w:val="22"/>
          <w:szCs w:val="22"/>
        </w:rPr>
      </w:pPr>
      <w:r>
        <w:rPr>
          <w:noProof/>
          <w:sz w:val="22"/>
          <w:szCs w:val="22"/>
          <w:lang w:val="en-US"/>
        </w:rPr>
        <w:drawing>
          <wp:inline distT="0" distB="0" distL="0" distR="0" wp14:anchorId="48D1B9B3" wp14:editId="30CDF37A">
            <wp:extent cx="5017008" cy="22006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png"/>
                    <pic:cNvPicPr/>
                  </pic:nvPicPr>
                  <pic:blipFill>
                    <a:blip r:embed="rId10">
                      <a:extLst>
                        <a:ext uri="{28A0092B-C50C-407E-A947-70E740481C1C}">
                          <a14:useLocalDpi xmlns:a14="http://schemas.microsoft.com/office/drawing/2010/main" val="0"/>
                        </a:ext>
                      </a:extLst>
                    </a:blip>
                    <a:stretch>
                      <a:fillRect/>
                    </a:stretch>
                  </pic:blipFill>
                  <pic:spPr>
                    <a:xfrm>
                      <a:off x="0" y="0"/>
                      <a:ext cx="5017008" cy="2200656"/>
                    </a:xfrm>
                    <a:prstGeom prst="rect">
                      <a:avLst/>
                    </a:prstGeom>
                  </pic:spPr>
                </pic:pic>
              </a:graphicData>
            </a:graphic>
          </wp:inline>
        </w:drawing>
      </w:r>
    </w:p>
    <w:p w14:paraId="2761BA0D" w14:textId="72423BDF" w:rsidR="00463EBD" w:rsidRPr="00E50166" w:rsidRDefault="00D201C5" w:rsidP="00463EBD">
      <w:pPr>
        <w:jc w:val="center"/>
        <w:rPr>
          <w:b/>
          <w:sz w:val="22"/>
          <w:szCs w:val="22"/>
        </w:rPr>
      </w:pPr>
      <w:r>
        <w:rPr>
          <w:b/>
          <w:sz w:val="22"/>
          <w:szCs w:val="22"/>
        </w:rPr>
        <w:t>Fig. 5</w:t>
      </w:r>
      <w:r w:rsidR="00463EBD" w:rsidRPr="00E50166">
        <w:rPr>
          <w:b/>
          <w:sz w:val="22"/>
          <w:szCs w:val="22"/>
        </w:rPr>
        <w:t>.3</w:t>
      </w:r>
      <w:r w:rsidR="00463EBD">
        <w:rPr>
          <w:b/>
          <w:sz w:val="22"/>
          <w:szCs w:val="22"/>
        </w:rPr>
        <w:t>(a) First/Last Mile Travel Cost</w:t>
      </w:r>
      <w:r w:rsidR="00463EBD">
        <w:rPr>
          <w:b/>
          <w:sz w:val="22"/>
          <w:szCs w:val="22"/>
        </w:rPr>
        <w:tab/>
      </w:r>
      <w:r w:rsidR="00463EBD">
        <w:rPr>
          <w:b/>
          <w:sz w:val="22"/>
          <w:szCs w:val="22"/>
        </w:rPr>
        <w:tab/>
      </w:r>
      <w:r>
        <w:rPr>
          <w:b/>
          <w:sz w:val="22"/>
          <w:szCs w:val="22"/>
        </w:rPr>
        <w:t>Fig. 5</w:t>
      </w:r>
      <w:r w:rsidR="00463EBD" w:rsidRPr="00E50166">
        <w:rPr>
          <w:b/>
          <w:sz w:val="22"/>
          <w:szCs w:val="22"/>
        </w:rPr>
        <w:t>.3(b)</w:t>
      </w:r>
      <w:r w:rsidR="00463EBD">
        <w:rPr>
          <w:b/>
          <w:sz w:val="22"/>
          <w:szCs w:val="22"/>
        </w:rPr>
        <w:t xml:space="preserve"> First/Last Mile Travel Time</w:t>
      </w:r>
    </w:p>
    <w:p w14:paraId="6B2B42FC" w14:textId="77777777" w:rsidR="00463EBD" w:rsidRDefault="00463EBD" w:rsidP="00463EBD">
      <w:pPr>
        <w:ind w:firstLine="436"/>
        <w:rPr>
          <w:sz w:val="22"/>
          <w:szCs w:val="22"/>
        </w:rPr>
      </w:pPr>
    </w:p>
    <w:p w14:paraId="75B5BB93" w14:textId="4240AC97" w:rsidR="00463EBD" w:rsidRPr="002F1225" w:rsidRDefault="00463EBD" w:rsidP="00463EBD">
      <w:pPr>
        <w:ind w:firstLine="436"/>
      </w:pPr>
      <w:r w:rsidRPr="002F1225">
        <w:t xml:space="preserve">It can also be inferred from the figure that commuters try to balance the cost and time by keeping it low for one leg of the journey when the other leg gets considerably high, as is very clear in the case of Noida and Rajiv </w:t>
      </w:r>
      <w:proofErr w:type="spellStart"/>
      <w:r w:rsidRPr="002F1225">
        <w:t>Chowk</w:t>
      </w:r>
      <w:proofErr w:type="spellEnd"/>
      <w:r w:rsidRPr="002F1225">
        <w:t xml:space="preserve">. This </w:t>
      </w:r>
      <w:r w:rsidR="001F2CE4">
        <w:t xml:space="preserve">means that they must walk at least one leg of the journey, which </w:t>
      </w:r>
      <w:r w:rsidRPr="002F1225">
        <w:t xml:space="preserve">further </w:t>
      </w:r>
      <w:r w:rsidR="001F2CE4">
        <w:t>underpins the importance of providing adequate</w:t>
      </w:r>
      <w:r w:rsidRPr="002F1225">
        <w:t xml:space="preserve"> NMT facility and infrastructure. </w:t>
      </w:r>
    </w:p>
    <w:p w14:paraId="57E9E452" w14:textId="77777777" w:rsidR="00463EBD" w:rsidRPr="002F1225" w:rsidRDefault="00463EBD" w:rsidP="00463EBD"/>
    <w:p w14:paraId="42E9099C" w14:textId="31DB2E80" w:rsidR="00463EBD" w:rsidRPr="00D201C5" w:rsidRDefault="00D201C5" w:rsidP="00463EBD">
      <w:pPr>
        <w:rPr>
          <w:b/>
        </w:rPr>
      </w:pPr>
      <w:r w:rsidRPr="00D201C5">
        <w:rPr>
          <w:b/>
        </w:rPr>
        <w:t>5.4</w:t>
      </w:r>
      <w:r w:rsidR="00463EBD" w:rsidRPr="00D201C5">
        <w:rPr>
          <w:b/>
        </w:rPr>
        <w:t xml:space="preserve"> </w:t>
      </w:r>
      <w:r w:rsidR="00EB50DE" w:rsidRPr="00D201C5">
        <w:rPr>
          <w:b/>
        </w:rPr>
        <w:t xml:space="preserve">Quality of </w:t>
      </w:r>
      <w:r w:rsidR="00023B8F" w:rsidRPr="00D201C5">
        <w:rPr>
          <w:b/>
        </w:rPr>
        <w:t xml:space="preserve">Last Mile </w:t>
      </w:r>
      <w:r w:rsidR="00EB50DE" w:rsidRPr="00D201C5">
        <w:rPr>
          <w:b/>
        </w:rPr>
        <w:t>‘Green Mobility’ Options</w:t>
      </w:r>
    </w:p>
    <w:p w14:paraId="01228E20" w14:textId="77777777" w:rsidR="00463EBD" w:rsidRPr="002F1225" w:rsidRDefault="00463EBD" w:rsidP="00463EBD"/>
    <w:p w14:paraId="636E0A68" w14:textId="2E7BAE47" w:rsidR="00463EBD" w:rsidRPr="00EB50DE" w:rsidRDefault="00463EBD" w:rsidP="00EB50DE">
      <w:pPr>
        <w:rPr>
          <w:b/>
          <w:bCs/>
        </w:rPr>
      </w:pPr>
      <w:r w:rsidRPr="002F1225">
        <w:t xml:space="preserve">The quality of the last mile to a great extent influences transit ridership and the choices opted by users. </w:t>
      </w:r>
      <w:r w:rsidRPr="002F1225">
        <w:rPr>
          <w:bCs/>
          <w:lang w:val="nl-NL"/>
        </w:rPr>
        <w:t>Nelson\</w:t>
      </w:r>
      <w:proofErr w:type="spellStart"/>
      <w:r w:rsidRPr="002F1225">
        <w:rPr>
          <w:bCs/>
          <w:lang w:val="nl-NL"/>
        </w:rPr>
        <w:t>Nygaard</w:t>
      </w:r>
      <w:proofErr w:type="spellEnd"/>
      <w:r w:rsidRPr="002F1225">
        <w:rPr>
          <w:bCs/>
          <w:lang w:val="nl-NL"/>
        </w:rPr>
        <w:t xml:space="preserve"> (2009) talk of </w:t>
      </w:r>
      <w:r w:rsidRPr="002F1225">
        <w:rPr>
          <w:bCs/>
        </w:rPr>
        <w:t xml:space="preserve">first mile/ last mile barriers for commuters who "could potentially take transit but whose starting point or final destination cannot be conveniently accessed from the nearest transit stop/station due to distance, terrain (hills, street patterns), or real or perceived safety issues (traffic, crime)". As mentioned in the introductory section, poor walking and cycling infrastructure and conditions are significant deterrents to use of </w:t>
      </w:r>
      <w:r w:rsidR="00EB50DE">
        <w:rPr>
          <w:bCs/>
        </w:rPr>
        <w:t>transit services</w:t>
      </w:r>
      <w:r w:rsidRPr="002F1225">
        <w:rPr>
          <w:bCs/>
        </w:rPr>
        <w:t>.</w:t>
      </w:r>
      <w:r w:rsidR="00EB50DE">
        <w:rPr>
          <w:b/>
          <w:bCs/>
        </w:rPr>
        <w:t xml:space="preserve"> </w:t>
      </w:r>
      <w:r w:rsidRPr="002F1225">
        <w:rPr>
          <w:bCs/>
        </w:rPr>
        <w:t xml:space="preserve">The study analyses the quality in terms of service connection (frequency, reliability), comfort, accessibility (including walking/ cycling environment), safety (in terms of crime and traffic), attractiveness, and amenities. These aspects </w:t>
      </w:r>
      <w:r w:rsidR="002F1225">
        <w:rPr>
          <w:bCs/>
        </w:rPr>
        <w:t>were considered while assessing the overall quality of the last mile at each station</w:t>
      </w:r>
      <w:r w:rsidRPr="002F1225">
        <w:rPr>
          <w:bCs/>
        </w:rPr>
        <w:t xml:space="preserve">. </w:t>
      </w:r>
      <w:r w:rsidR="002F1225">
        <w:rPr>
          <w:bCs/>
        </w:rPr>
        <w:t xml:space="preserve">The paper presents the findings of the last mile environment with respect to </w:t>
      </w:r>
      <w:r w:rsidR="00EB50DE">
        <w:rPr>
          <w:bCs/>
        </w:rPr>
        <w:t>‘green mobility’ that</w:t>
      </w:r>
      <w:r w:rsidR="002F1225">
        <w:rPr>
          <w:bCs/>
        </w:rPr>
        <w:t xml:space="preserve"> includ</w:t>
      </w:r>
      <w:r w:rsidR="00EB50DE">
        <w:rPr>
          <w:bCs/>
        </w:rPr>
        <w:t>e</w:t>
      </w:r>
      <w:r w:rsidR="002F1225">
        <w:rPr>
          <w:bCs/>
        </w:rPr>
        <w:t xml:space="preserve"> walking, cycling and non-motorised IPT modes. </w:t>
      </w:r>
    </w:p>
    <w:p w14:paraId="0F923434" w14:textId="5D4706CC" w:rsidR="00463EBD" w:rsidRPr="002F1225" w:rsidRDefault="00023B8F" w:rsidP="00463EBD">
      <w:pPr>
        <w:ind w:firstLine="720"/>
        <w:rPr>
          <w:bCs/>
        </w:rPr>
      </w:pPr>
      <w:r>
        <w:rPr>
          <w:bCs/>
        </w:rPr>
        <w:t>At all selected stations, there width of footpath near stations</w:t>
      </w:r>
      <w:r w:rsidRPr="00023B8F">
        <w:rPr>
          <w:bCs/>
        </w:rPr>
        <w:t xml:space="preserve"> </w:t>
      </w:r>
      <w:r>
        <w:rPr>
          <w:bCs/>
        </w:rPr>
        <w:t xml:space="preserve">was found to be adequate, except for </w:t>
      </w:r>
      <w:proofErr w:type="spellStart"/>
      <w:r>
        <w:rPr>
          <w:bCs/>
        </w:rPr>
        <w:t>Chandni</w:t>
      </w:r>
      <w:proofErr w:type="spellEnd"/>
      <w:r>
        <w:rPr>
          <w:bCs/>
        </w:rPr>
        <w:t xml:space="preserve"> </w:t>
      </w:r>
      <w:proofErr w:type="spellStart"/>
      <w:r>
        <w:rPr>
          <w:bCs/>
        </w:rPr>
        <w:t>Chowk</w:t>
      </w:r>
      <w:proofErr w:type="spellEnd"/>
      <w:r>
        <w:rPr>
          <w:bCs/>
        </w:rPr>
        <w:t xml:space="preserve">. </w:t>
      </w:r>
      <w:r w:rsidR="00463EBD" w:rsidRPr="002F1225">
        <w:rPr>
          <w:bCs/>
        </w:rPr>
        <w:t xml:space="preserve">At Rajiv </w:t>
      </w:r>
      <w:proofErr w:type="spellStart"/>
      <w:r w:rsidR="00463EBD" w:rsidRPr="002F1225">
        <w:rPr>
          <w:bCs/>
        </w:rPr>
        <w:t>Chowk</w:t>
      </w:r>
      <w:proofErr w:type="spellEnd"/>
      <w:r w:rsidR="00463EBD" w:rsidRPr="002F1225">
        <w:rPr>
          <w:bCs/>
        </w:rPr>
        <w:t xml:space="preserve">, </w:t>
      </w:r>
      <w:r w:rsidR="002F1225">
        <w:rPr>
          <w:bCs/>
        </w:rPr>
        <w:t>while the pedestrian</w:t>
      </w:r>
      <w:r w:rsidR="00463EBD" w:rsidRPr="002F1225">
        <w:rPr>
          <w:bCs/>
        </w:rPr>
        <w:t xml:space="preserve"> infrastructure</w:t>
      </w:r>
      <w:r w:rsidR="002F1225">
        <w:rPr>
          <w:bCs/>
        </w:rPr>
        <w:t xml:space="preserve"> is relatively </w:t>
      </w:r>
      <w:proofErr w:type="gramStart"/>
      <w:r w:rsidR="002F1225">
        <w:rPr>
          <w:bCs/>
        </w:rPr>
        <w:t>better</w:t>
      </w:r>
      <w:proofErr w:type="gramEnd"/>
      <w:r w:rsidR="002F1225">
        <w:rPr>
          <w:bCs/>
        </w:rPr>
        <w:t xml:space="preserve"> compared to other stations</w:t>
      </w:r>
      <w:r w:rsidR="00463EBD" w:rsidRPr="002F1225">
        <w:rPr>
          <w:bCs/>
        </w:rPr>
        <w:t xml:space="preserve">, </w:t>
      </w:r>
      <w:r w:rsidR="002F1225">
        <w:rPr>
          <w:bCs/>
        </w:rPr>
        <w:t>it</w:t>
      </w:r>
      <w:r w:rsidR="00463EBD" w:rsidRPr="002F1225">
        <w:rPr>
          <w:bCs/>
        </w:rPr>
        <w:t xml:space="preserve"> is far from satisfactory. The condition of sidewalks is poor. Pedestrians have to negotiate vehicular traffic to cross roads. However, the crossing is not critically dangerous because of relatively low vehicular speeds and well-located </w:t>
      </w:r>
      <w:proofErr w:type="spellStart"/>
      <w:r w:rsidR="00463EBD" w:rsidRPr="002F1225">
        <w:rPr>
          <w:bCs/>
        </w:rPr>
        <w:t>tabletop</w:t>
      </w:r>
      <w:proofErr w:type="spellEnd"/>
      <w:r w:rsidR="00463EBD" w:rsidRPr="002F1225">
        <w:rPr>
          <w:bCs/>
        </w:rPr>
        <w:t xml:space="preserve"> at-grade crossings. Undesignated spaces for auto-rickshaws restrict the free movement of pedestrians. While there is a bicycle parking facility, there is no facility for ‘bicycle on ren</w:t>
      </w:r>
      <w:r w:rsidR="00EB50DE">
        <w:rPr>
          <w:bCs/>
        </w:rPr>
        <w:t>t’</w:t>
      </w:r>
      <w:r w:rsidR="00A64402">
        <w:rPr>
          <w:bCs/>
        </w:rPr>
        <w:t>. Notwithstanding the ordinary infrastructure, a huge proportion of transit users walk the last mile</w:t>
      </w:r>
      <w:r w:rsidR="009E72E8">
        <w:rPr>
          <w:bCs/>
        </w:rPr>
        <w:t xml:space="preserve"> (87%)</w:t>
      </w:r>
      <w:r w:rsidR="00A64402">
        <w:rPr>
          <w:bCs/>
        </w:rPr>
        <w:t>, since t</w:t>
      </w:r>
      <w:r w:rsidR="00463EBD" w:rsidRPr="002F1225">
        <w:rPr>
          <w:bCs/>
        </w:rPr>
        <w:t>he overall safe feeling in this area is good.</w:t>
      </w:r>
      <w:r w:rsidR="00A64402">
        <w:rPr>
          <w:bCs/>
        </w:rPr>
        <w:t xml:space="preserve"> </w:t>
      </w:r>
      <w:r w:rsidR="009E72E8">
        <w:rPr>
          <w:bCs/>
        </w:rPr>
        <w:t>The safe feeling by commuters</w:t>
      </w:r>
      <w:r w:rsidR="00A64402">
        <w:rPr>
          <w:bCs/>
        </w:rPr>
        <w:t xml:space="preserve"> is on account of several factors such as the hig</w:t>
      </w:r>
      <w:r w:rsidR="009E72E8">
        <w:rPr>
          <w:bCs/>
        </w:rPr>
        <w:t xml:space="preserve">h intensity of activities </w:t>
      </w:r>
      <w:proofErr w:type="gramStart"/>
      <w:r w:rsidR="009E72E8">
        <w:rPr>
          <w:bCs/>
        </w:rPr>
        <w:t>round-the-day</w:t>
      </w:r>
      <w:proofErr w:type="gramEnd"/>
      <w:r w:rsidR="009E72E8">
        <w:rPr>
          <w:bCs/>
        </w:rPr>
        <w:t>, ‘eye</w:t>
      </w:r>
      <w:r w:rsidR="00A64402">
        <w:rPr>
          <w:bCs/>
        </w:rPr>
        <w:t xml:space="preserve"> on the street’, </w:t>
      </w:r>
      <w:r w:rsidR="009E72E8">
        <w:rPr>
          <w:bCs/>
        </w:rPr>
        <w:t>presence of informal sector, etc</w:t>
      </w:r>
      <w:r w:rsidR="00A64402">
        <w:rPr>
          <w:bCs/>
        </w:rPr>
        <w:t>.</w:t>
      </w:r>
    </w:p>
    <w:p w14:paraId="76E966C9" w14:textId="08DC9BAD" w:rsidR="00463EBD" w:rsidRPr="002F1225" w:rsidRDefault="00A64402" w:rsidP="00463EBD">
      <w:pPr>
        <w:ind w:firstLine="720"/>
      </w:pPr>
      <w:r>
        <w:t xml:space="preserve">The manifestation of streets as public spaces can be </w:t>
      </w:r>
      <w:r w:rsidR="004C1228">
        <w:t>vividly</w:t>
      </w:r>
      <w:r>
        <w:t xml:space="preserve"> </w:t>
      </w:r>
      <w:r w:rsidR="004C1228">
        <w:t>experienced on t</w:t>
      </w:r>
      <w:r>
        <w:t xml:space="preserve">he streets </w:t>
      </w:r>
      <w:r w:rsidR="004046FF">
        <w:t>surrounding</w:t>
      </w:r>
      <w:r>
        <w:t xml:space="preserve"> </w:t>
      </w:r>
      <w:proofErr w:type="spellStart"/>
      <w:r w:rsidRPr="002F1225">
        <w:t>Chandni</w:t>
      </w:r>
      <w:proofErr w:type="spellEnd"/>
      <w:r w:rsidRPr="002F1225">
        <w:t xml:space="preserve"> </w:t>
      </w:r>
      <w:proofErr w:type="spellStart"/>
      <w:r w:rsidRPr="002F1225">
        <w:t>Chowk</w:t>
      </w:r>
      <w:proofErr w:type="spellEnd"/>
      <w:r w:rsidR="004046FF">
        <w:t xml:space="preserve"> station</w:t>
      </w:r>
      <w:r>
        <w:t xml:space="preserve">. </w:t>
      </w:r>
      <w:r w:rsidR="004C1228">
        <w:t xml:space="preserve">These streets are the </w:t>
      </w:r>
      <w:r>
        <w:t xml:space="preserve">hubs of diverse activities. </w:t>
      </w:r>
      <w:r w:rsidR="004C1228">
        <w:t>Although there are no s</w:t>
      </w:r>
      <w:r w:rsidR="004C1228" w:rsidRPr="002F1225">
        <w:t>idewalks and crossings available</w:t>
      </w:r>
      <w:r w:rsidR="004C1228">
        <w:t>,</w:t>
      </w:r>
      <w:r w:rsidR="004C1228" w:rsidRPr="002F1225">
        <w:t xml:space="preserve"> </w:t>
      </w:r>
      <w:r w:rsidR="004C1228">
        <w:t>s</w:t>
      </w:r>
      <w:r w:rsidR="004C1228" w:rsidRPr="002F1225">
        <w:t>afety from the point of view of traffic is rated as good as the entire street is pedestrian dominated with minimal vehicular traffic.</w:t>
      </w:r>
      <w:r w:rsidR="004C1228">
        <w:t xml:space="preserve"> Almost the entire last mile is covered by non-motorised modes (90%)</w:t>
      </w:r>
      <w:r w:rsidR="00463EBD" w:rsidRPr="002F1225">
        <w:t xml:space="preserve">. </w:t>
      </w:r>
      <w:r w:rsidR="004C1228">
        <w:t>T</w:t>
      </w:r>
      <w:r w:rsidR="00463EBD" w:rsidRPr="002F1225">
        <w:t xml:space="preserve">he overall safe feeling </w:t>
      </w:r>
      <w:r w:rsidR="004C1228">
        <w:t xml:space="preserve">of the area </w:t>
      </w:r>
      <w:r w:rsidR="00463EBD" w:rsidRPr="002F1225">
        <w:t xml:space="preserve">is </w:t>
      </w:r>
      <w:r w:rsidR="004C1228">
        <w:t xml:space="preserve">however </w:t>
      </w:r>
      <w:r w:rsidR="00463EBD" w:rsidRPr="002F1225">
        <w:t xml:space="preserve">ranked as poor. </w:t>
      </w:r>
      <w:r w:rsidR="004C1228">
        <w:t xml:space="preserve">This is on account </w:t>
      </w:r>
      <w:r w:rsidR="00463EBD" w:rsidRPr="002F1225">
        <w:t>of encroachment on road</w:t>
      </w:r>
      <w:r w:rsidR="004C1228">
        <w:t>,</w:t>
      </w:r>
      <w:r w:rsidR="00463EBD" w:rsidRPr="002F1225">
        <w:t xml:space="preserve"> </w:t>
      </w:r>
      <w:r w:rsidR="004C1228" w:rsidRPr="002F1225">
        <w:t>cycle-rickshaws parked in a chaotic manner</w:t>
      </w:r>
      <w:r w:rsidR="004C1228">
        <w:t>, and over-crowdedness</w:t>
      </w:r>
      <w:r w:rsidR="004046FF">
        <w:t>,</w:t>
      </w:r>
      <w:r w:rsidR="004C1228" w:rsidRPr="002F1225">
        <w:t xml:space="preserve"> </w:t>
      </w:r>
      <w:r w:rsidR="00463EBD" w:rsidRPr="002F1225">
        <w:t xml:space="preserve">making it difficult for pedestrians to move freely and also creating conditions conducive to petty crimes such as pickpocketing. </w:t>
      </w:r>
      <w:r w:rsidR="004046FF">
        <w:t>T</w:t>
      </w:r>
      <w:r w:rsidR="00463EBD" w:rsidRPr="002F1225">
        <w:t>he surface condition of the road is poor and extremely unfriendl</w:t>
      </w:r>
      <w:r w:rsidR="004046FF">
        <w:t>y for people with special needs</w:t>
      </w:r>
      <w:r w:rsidR="00463EBD" w:rsidRPr="002F1225">
        <w:t xml:space="preserve"> </w:t>
      </w:r>
      <w:r w:rsidR="004046FF">
        <w:t xml:space="preserve">and </w:t>
      </w:r>
      <w:r w:rsidR="00463EBD" w:rsidRPr="002F1225">
        <w:t>there is scope for improvement of sidewalk</w:t>
      </w:r>
      <w:r w:rsidR="004046FF">
        <w:t>s in the surrounding areas.</w:t>
      </w:r>
      <w:r w:rsidR="00463EBD" w:rsidRPr="002F1225">
        <w:t xml:space="preserve"> Bicycle on rent facility is not available although there is opportunity, given the low-income category and heavy tourist ridership.</w:t>
      </w:r>
    </w:p>
    <w:p w14:paraId="73191A30" w14:textId="78A46C14" w:rsidR="00463EBD" w:rsidRPr="002F1225" w:rsidRDefault="00463EBD" w:rsidP="00463EBD">
      <w:r w:rsidRPr="002F1225">
        <w:tab/>
        <w:t xml:space="preserve">Noida City Centre is </w:t>
      </w:r>
      <w:r w:rsidR="004E3756">
        <w:t xml:space="preserve">rated </w:t>
      </w:r>
      <w:r w:rsidRPr="002F1225">
        <w:t xml:space="preserve">the worst when it comes to provision of NMT infrastructure. </w:t>
      </w:r>
      <w:r w:rsidR="004E3756">
        <w:t>It gets some points on account of the multitude of options available for covering the last mile. Another</w:t>
      </w:r>
      <w:r w:rsidRPr="002F1225">
        <w:t xml:space="preserve"> good feature here is designated place for cycle rickshaws. However, commuters have to negotiate through unsafe vehicular traffic </w:t>
      </w:r>
      <w:r w:rsidR="004046FF">
        <w:t>streams</w:t>
      </w:r>
      <w:r w:rsidRPr="002F1225">
        <w:t xml:space="preserve"> to access the cycle-rickshaws. The </w:t>
      </w:r>
      <w:r w:rsidR="003058B0">
        <w:t>s</w:t>
      </w:r>
      <w:r w:rsidRPr="002F1225">
        <w:t xml:space="preserve">idewalks </w:t>
      </w:r>
      <w:r w:rsidR="003058B0">
        <w:t>have high risers</w:t>
      </w:r>
      <w:r w:rsidR="003058B0" w:rsidRPr="002F1225">
        <w:t xml:space="preserve"> </w:t>
      </w:r>
      <w:r w:rsidR="003058B0">
        <w:t xml:space="preserve">that are not pedestrian friendly </w:t>
      </w:r>
      <w:r w:rsidRPr="002F1225">
        <w:t xml:space="preserve">and not at all designed </w:t>
      </w:r>
      <w:r w:rsidR="004046FF">
        <w:t>in</w:t>
      </w:r>
      <w:r w:rsidRPr="002F1225">
        <w:t xml:space="preserve"> consideration </w:t>
      </w:r>
      <w:r w:rsidR="004046FF">
        <w:t>with</w:t>
      </w:r>
      <w:r w:rsidRPr="002F1225">
        <w:t xml:space="preserve"> universal accessibility. Being located right near an intersection of an arterial and a sub-arterial, there is heavy pedestrian crossing negotiating through heavy vehicular movement. </w:t>
      </w:r>
      <w:r w:rsidR="004E3756">
        <w:t xml:space="preserve">In absence of designated stands, auto-rickshaws, shared auto-rickshaws, chartered and other bus services, e-rickshaws, all compete for the available road space, thereby creating traffic congestion and accident hazards for commuters. All of these, combined with </w:t>
      </w:r>
      <w:r w:rsidRPr="002F1225">
        <w:t>level of illumination</w:t>
      </w:r>
      <w:r w:rsidR="004E3756">
        <w:t>,</w:t>
      </w:r>
      <w:r w:rsidRPr="002F1225">
        <w:t xml:space="preserve"> low level of street activities in the surrounding areas, presence of a bus depot at another end of the crossing, </w:t>
      </w:r>
      <w:r w:rsidR="004E3756">
        <w:t>give</w:t>
      </w:r>
      <w:r w:rsidRPr="002F1225">
        <w:t xml:space="preserve"> the area an overall unsafe rating.</w:t>
      </w:r>
    </w:p>
    <w:p w14:paraId="250E964E" w14:textId="5155B537" w:rsidR="00463EBD" w:rsidRPr="002F1225" w:rsidRDefault="00463EBD" w:rsidP="00463EBD">
      <w:pPr>
        <w:ind w:firstLine="720"/>
      </w:pPr>
      <w:r w:rsidRPr="002F1225">
        <w:t xml:space="preserve">At </w:t>
      </w:r>
      <w:proofErr w:type="spellStart"/>
      <w:r w:rsidRPr="002F1225">
        <w:t>Chhatarpur</w:t>
      </w:r>
      <w:proofErr w:type="spellEnd"/>
      <w:r w:rsidRPr="002F1225">
        <w:t>, while the condition of pedestrian infrastructure within the station premise is satisfactory: the sidewalks and crossings are good and there are tactile pavement and escalators; the same cannot be said of its surrounding vicinity. The overall safe feeling of this area is ranked poor</w:t>
      </w:r>
      <w:r w:rsidR="004046FF">
        <w:t xml:space="preserve"> on account of sparse development and low street activity</w:t>
      </w:r>
      <w:r w:rsidRPr="002F1225">
        <w:t xml:space="preserve">. </w:t>
      </w:r>
      <w:proofErr w:type="gramStart"/>
      <w:r w:rsidRPr="002F1225">
        <w:t xml:space="preserve">Lack of NMT modes, poor walking and cycling conditions in the vicinity and unsafe feeling result in heavy dependence on </w:t>
      </w:r>
      <w:r w:rsidR="004046FF">
        <w:t xml:space="preserve">unsustainable </w:t>
      </w:r>
      <w:r w:rsidRPr="002F1225">
        <w:t>motorized modes for last mile connectivity.</w:t>
      </w:r>
      <w:proofErr w:type="gramEnd"/>
    </w:p>
    <w:p w14:paraId="3BA8F358" w14:textId="4EED877D" w:rsidR="00463EBD" w:rsidRPr="002F1225" w:rsidRDefault="00463EBD" w:rsidP="00463EBD">
      <w:pPr>
        <w:ind w:firstLine="720"/>
      </w:pPr>
      <w:r w:rsidRPr="002F1225">
        <w:t xml:space="preserve">The Vishvavidyalay station has a </w:t>
      </w:r>
      <w:r w:rsidR="009E72E8">
        <w:t>good</w:t>
      </w:r>
      <w:r w:rsidRPr="002F1225">
        <w:t xml:space="preserve"> quality of NMT facilities. The NMT options available are higher. The walking and cycling conditions are comparatively good and the overall safe feeling is rated good. However, there is scope for improvement in terms of </w:t>
      </w:r>
      <w:r w:rsidR="009E72E8">
        <w:t>additional</w:t>
      </w:r>
      <w:r w:rsidRPr="002F1225">
        <w:t xml:space="preserve"> and better quality provisions for “bicycle on rent” as the present supply runs short of the huge demand.</w:t>
      </w:r>
    </w:p>
    <w:p w14:paraId="52D78509" w14:textId="77777777" w:rsidR="00545F25" w:rsidRPr="002F1225" w:rsidRDefault="00545F25" w:rsidP="00607D4D">
      <w:pPr>
        <w:widowControl w:val="0"/>
        <w:jc w:val="left"/>
        <w:rPr>
          <w:b/>
        </w:rPr>
      </w:pPr>
    </w:p>
    <w:p w14:paraId="31178F33" w14:textId="77777777" w:rsidR="00545F25" w:rsidRPr="002F1225" w:rsidRDefault="00545F25" w:rsidP="00607D4D">
      <w:pPr>
        <w:widowControl w:val="0"/>
        <w:jc w:val="left"/>
        <w:rPr>
          <w:b/>
        </w:rPr>
      </w:pPr>
    </w:p>
    <w:p w14:paraId="643E977B" w14:textId="77777777" w:rsidR="00AB71EF" w:rsidRPr="002F1225" w:rsidRDefault="00AB71EF" w:rsidP="00AB71EF">
      <w:pPr>
        <w:rPr>
          <w:b/>
        </w:rPr>
      </w:pPr>
      <w:r w:rsidRPr="002F1225">
        <w:rPr>
          <w:b/>
        </w:rPr>
        <w:t>6.0 Conclusion</w:t>
      </w:r>
    </w:p>
    <w:p w14:paraId="50463175" w14:textId="77777777" w:rsidR="00AB71EF" w:rsidRPr="002F1225" w:rsidRDefault="00AB71EF" w:rsidP="00AB71EF">
      <w:pPr>
        <w:ind w:firstLine="720"/>
      </w:pPr>
    </w:p>
    <w:p w14:paraId="505FDC35" w14:textId="74B5797B" w:rsidR="00AF3427" w:rsidRDefault="00A00019" w:rsidP="00A00019">
      <w:pPr>
        <w:widowControl w:val="0"/>
        <w:jc w:val="left"/>
        <w:rPr>
          <w:bCs/>
        </w:rPr>
      </w:pPr>
      <w:r>
        <w:t xml:space="preserve">The study finds that </w:t>
      </w:r>
      <w:r>
        <w:rPr>
          <w:bCs/>
        </w:rPr>
        <w:t>h</w:t>
      </w:r>
      <w:r w:rsidR="006D2F97">
        <w:rPr>
          <w:bCs/>
        </w:rPr>
        <w:t xml:space="preserve">igh-density, mixed </w:t>
      </w:r>
      <w:proofErr w:type="spellStart"/>
      <w:r>
        <w:rPr>
          <w:bCs/>
        </w:rPr>
        <w:t>land</w:t>
      </w:r>
      <w:r w:rsidR="006D2F97">
        <w:rPr>
          <w:bCs/>
        </w:rPr>
        <w:t>use</w:t>
      </w:r>
      <w:proofErr w:type="spellEnd"/>
      <w:r w:rsidR="006D2F97">
        <w:rPr>
          <w:bCs/>
        </w:rPr>
        <w:t xml:space="preserve">, dense street networks, intense activities, are all conditions that support walking. </w:t>
      </w:r>
      <w:r w:rsidR="006D2F97">
        <w:t xml:space="preserve">This is corroborated by previous research </w:t>
      </w:r>
      <w:r w:rsidR="006D2F97" w:rsidRPr="002F1225">
        <w:t>(</w:t>
      </w:r>
      <w:proofErr w:type="spellStart"/>
      <w:r w:rsidR="006D2F97" w:rsidRPr="002F1225">
        <w:t>Ozbil</w:t>
      </w:r>
      <w:proofErr w:type="spellEnd"/>
      <w:r w:rsidR="006D2F97" w:rsidRPr="002F1225">
        <w:t xml:space="preserve"> and </w:t>
      </w:r>
      <w:proofErr w:type="spellStart"/>
      <w:r w:rsidR="006D2F97" w:rsidRPr="002F1225">
        <w:t>Peponis</w:t>
      </w:r>
      <w:proofErr w:type="spellEnd"/>
      <w:r w:rsidR="006D2F97" w:rsidRPr="002F1225">
        <w:t>, 2012)</w:t>
      </w:r>
      <w:r w:rsidR="006D2F97">
        <w:t xml:space="preserve"> that found</w:t>
      </w:r>
      <w:r w:rsidR="006D2F97" w:rsidRPr="002F1225">
        <w:t xml:space="preserve"> mixed-use </w:t>
      </w:r>
      <w:proofErr w:type="spellStart"/>
      <w:r w:rsidR="006D2F97" w:rsidRPr="002F1225">
        <w:t>neighborhoods</w:t>
      </w:r>
      <w:proofErr w:type="spellEnd"/>
      <w:r w:rsidR="006D2F97" w:rsidRPr="002F1225">
        <w:t xml:space="preserve"> around stations</w:t>
      </w:r>
      <w:r w:rsidR="006D2F97">
        <w:t xml:space="preserve"> and</w:t>
      </w:r>
      <w:r w:rsidR="006D2F97" w:rsidRPr="002F1225">
        <w:t xml:space="preserve"> denser street networks </w:t>
      </w:r>
      <w:r>
        <w:t>to be</w:t>
      </w:r>
      <w:r w:rsidR="006D2F97">
        <w:t xml:space="preserve"> </w:t>
      </w:r>
      <w:r w:rsidR="006D2F97" w:rsidRPr="002F1225">
        <w:t>associated with higher proportion of walking shares among station patrons.</w:t>
      </w:r>
      <w:r w:rsidR="006D2F97">
        <w:t xml:space="preserve"> </w:t>
      </w:r>
      <w:r w:rsidR="006D2F97">
        <w:rPr>
          <w:bCs/>
        </w:rPr>
        <w:t>These conditions have an inherent ‘safe feeling’ because of which transit commuters are ready to walk even when the supporting infrastructure is lacking</w:t>
      </w:r>
      <w:r w:rsidR="00D201C5">
        <w:rPr>
          <w:bCs/>
        </w:rPr>
        <w:t xml:space="preserve"> or poor</w:t>
      </w:r>
      <w:r w:rsidR="006D2F97">
        <w:rPr>
          <w:bCs/>
        </w:rPr>
        <w:t xml:space="preserve">. However, in cases when the intensity of activities tends towards over-crowdedness and chaos, it can </w:t>
      </w:r>
      <w:r w:rsidR="00D201C5">
        <w:rPr>
          <w:bCs/>
        </w:rPr>
        <w:t xml:space="preserve">reverse </w:t>
      </w:r>
      <w:r w:rsidR="006D2F97">
        <w:rPr>
          <w:bCs/>
        </w:rPr>
        <w:t xml:space="preserve">the </w:t>
      </w:r>
      <w:r w:rsidR="00D201C5">
        <w:rPr>
          <w:bCs/>
        </w:rPr>
        <w:t>‘safe feeling’</w:t>
      </w:r>
      <w:r w:rsidR="006D2F97">
        <w:rPr>
          <w:bCs/>
        </w:rPr>
        <w:t xml:space="preserve"> </w:t>
      </w:r>
      <w:r w:rsidR="00D201C5">
        <w:rPr>
          <w:bCs/>
        </w:rPr>
        <w:t>for</w:t>
      </w:r>
      <w:r w:rsidR="006D2F97">
        <w:rPr>
          <w:bCs/>
        </w:rPr>
        <w:t xml:space="preserve"> commuters, as is seen in the case of </w:t>
      </w:r>
      <w:proofErr w:type="spellStart"/>
      <w:r w:rsidR="006D2F97">
        <w:rPr>
          <w:bCs/>
        </w:rPr>
        <w:t>Chandni</w:t>
      </w:r>
      <w:proofErr w:type="spellEnd"/>
      <w:r w:rsidR="006D2F97">
        <w:rPr>
          <w:bCs/>
        </w:rPr>
        <w:t xml:space="preserve"> </w:t>
      </w:r>
      <w:proofErr w:type="spellStart"/>
      <w:r w:rsidR="006D2F97">
        <w:rPr>
          <w:bCs/>
        </w:rPr>
        <w:t>Chowk</w:t>
      </w:r>
      <w:proofErr w:type="spellEnd"/>
      <w:r w:rsidR="006D2F97">
        <w:rPr>
          <w:bCs/>
        </w:rPr>
        <w:t xml:space="preserve"> station. </w:t>
      </w:r>
      <w:r w:rsidR="00AF3427">
        <w:rPr>
          <w:bCs/>
        </w:rPr>
        <w:t xml:space="preserve">These can be overcome through systematic and planned organisation and management of, and well-designated spaces for activities. </w:t>
      </w:r>
    </w:p>
    <w:p w14:paraId="2C052551" w14:textId="1330CD82" w:rsidR="006D2F97" w:rsidRDefault="005615AC" w:rsidP="006D2F97">
      <w:pPr>
        <w:widowControl w:val="0"/>
        <w:ind w:firstLine="720"/>
        <w:jc w:val="left"/>
        <w:rPr>
          <w:bCs/>
        </w:rPr>
      </w:pPr>
      <w:r>
        <w:rPr>
          <w:bCs/>
        </w:rPr>
        <w:t>The study also concludes that it is not sufficient to have adequate space but an ensured ‘safe place’ on the right</w:t>
      </w:r>
      <w:r w:rsidR="00A00019">
        <w:rPr>
          <w:bCs/>
        </w:rPr>
        <w:t xml:space="preserve"> of way to favour</w:t>
      </w:r>
      <w:r>
        <w:rPr>
          <w:bCs/>
        </w:rPr>
        <w:t xml:space="preserve"> higher patronage of non-motorised transport. </w:t>
      </w:r>
      <w:r w:rsidR="006D2F97">
        <w:rPr>
          <w:bCs/>
        </w:rPr>
        <w:t xml:space="preserve">Commuters are more willing to </w:t>
      </w:r>
      <w:r>
        <w:rPr>
          <w:bCs/>
        </w:rPr>
        <w:t xml:space="preserve">walk in overcrowded conditions than in ‘isolated’ conditions and/or when they have to negotiate through heavy vehicular traffic. </w:t>
      </w:r>
      <w:r w:rsidR="00AF3427">
        <w:rPr>
          <w:bCs/>
        </w:rPr>
        <w:t>The finding underscores the need for compact, mixed-use neighbourhood planning for future development. While it may be difficult to create such conditions in already developed pockets, ensuring safety and security of transit and other NMT commuters is possible through</w:t>
      </w:r>
      <w:r w:rsidR="00AF3427" w:rsidRPr="00AF3427">
        <w:rPr>
          <w:bCs/>
        </w:rPr>
        <w:t xml:space="preserve"> </w:t>
      </w:r>
      <w:r w:rsidR="00D201C5">
        <w:rPr>
          <w:bCs/>
        </w:rPr>
        <w:t xml:space="preserve">making streets vibrant, </w:t>
      </w:r>
      <w:r w:rsidR="00AF3427">
        <w:rPr>
          <w:bCs/>
        </w:rPr>
        <w:t>reorganisation of the right of way</w:t>
      </w:r>
      <w:r w:rsidR="006078A9">
        <w:rPr>
          <w:bCs/>
        </w:rPr>
        <w:t xml:space="preserve"> and designating spaces for NMT usage</w:t>
      </w:r>
      <w:r w:rsidR="00AF3427">
        <w:rPr>
          <w:bCs/>
        </w:rPr>
        <w:t>.</w:t>
      </w:r>
    </w:p>
    <w:p w14:paraId="60F24E5E" w14:textId="77777777" w:rsidR="00BC70E2" w:rsidRDefault="006D2F97" w:rsidP="006D2F97">
      <w:pPr>
        <w:widowControl w:val="0"/>
        <w:ind w:firstLine="720"/>
        <w:jc w:val="left"/>
        <w:rPr>
          <w:bCs/>
        </w:rPr>
      </w:pPr>
      <w:r>
        <w:rPr>
          <w:bCs/>
        </w:rPr>
        <w:t xml:space="preserve">The study points out that </w:t>
      </w:r>
      <w:r w:rsidR="000F42F6">
        <w:rPr>
          <w:bCs/>
        </w:rPr>
        <w:t>at</w:t>
      </w:r>
      <w:r w:rsidRPr="002F1225">
        <w:rPr>
          <w:bCs/>
        </w:rPr>
        <w:t xml:space="preserve"> almost all the stations, barring </w:t>
      </w:r>
      <w:proofErr w:type="spellStart"/>
      <w:r w:rsidRPr="002F1225">
        <w:rPr>
          <w:bCs/>
        </w:rPr>
        <w:t>Chhatarpur</w:t>
      </w:r>
      <w:proofErr w:type="spellEnd"/>
      <w:r w:rsidRPr="002F1225">
        <w:rPr>
          <w:bCs/>
        </w:rPr>
        <w:t xml:space="preserve">, there is significant </w:t>
      </w:r>
      <w:r w:rsidR="000F42F6">
        <w:rPr>
          <w:bCs/>
        </w:rPr>
        <w:t xml:space="preserve">proportion of </w:t>
      </w:r>
      <w:r w:rsidR="003904A2">
        <w:rPr>
          <w:bCs/>
        </w:rPr>
        <w:t>NMT usage</w:t>
      </w:r>
      <w:r w:rsidR="000F42F6">
        <w:rPr>
          <w:bCs/>
        </w:rPr>
        <w:t xml:space="preserve"> observed </w:t>
      </w:r>
      <w:r w:rsidRPr="002F1225">
        <w:rPr>
          <w:bCs/>
        </w:rPr>
        <w:t>to cover the last mile.</w:t>
      </w:r>
      <w:r w:rsidRPr="006D2F97">
        <w:rPr>
          <w:bCs/>
        </w:rPr>
        <w:t xml:space="preserve"> </w:t>
      </w:r>
      <w:r w:rsidR="000F42F6">
        <w:rPr>
          <w:bCs/>
        </w:rPr>
        <w:t xml:space="preserve">Although </w:t>
      </w:r>
      <w:r w:rsidR="000F42F6">
        <w:t>f</w:t>
      </w:r>
      <w:r w:rsidR="005615AC" w:rsidRPr="002F1225">
        <w:t>or shorter last mile trip lengths, there is greater tendency amongst commuters to opt for NMT</w:t>
      </w:r>
      <w:r w:rsidR="000F42F6">
        <w:t>;</w:t>
      </w:r>
      <w:r w:rsidR="000F42F6" w:rsidRPr="000F42F6">
        <w:t xml:space="preserve"> </w:t>
      </w:r>
      <w:r w:rsidR="000F42F6" w:rsidRPr="002F1225">
        <w:t xml:space="preserve">in absence of walking-friendly environment or other NMT modes, higher </w:t>
      </w:r>
      <w:proofErr w:type="gramStart"/>
      <w:r w:rsidR="000F42F6" w:rsidRPr="002F1225">
        <w:t>percentage of polluting and unsustainable modes are</w:t>
      </w:r>
      <w:proofErr w:type="gramEnd"/>
      <w:r w:rsidR="000F42F6" w:rsidRPr="002F1225">
        <w:t xml:space="preserve"> used even for shorter distances.</w:t>
      </w:r>
      <w:r w:rsidR="005615AC" w:rsidRPr="002F1225">
        <w:t xml:space="preserve"> </w:t>
      </w:r>
      <w:r w:rsidR="000F42F6" w:rsidRPr="002F1225">
        <w:t xml:space="preserve">The propensity to resort to private motorized modes for LMC also increases with lack of or sub-standard </w:t>
      </w:r>
      <w:proofErr w:type="spellStart"/>
      <w:r w:rsidR="000F42F6" w:rsidRPr="002F1225">
        <w:t>para</w:t>
      </w:r>
      <w:proofErr w:type="spellEnd"/>
      <w:r w:rsidR="000F42F6" w:rsidRPr="002F1225">
        <w:t xml:space="preserve">-transit and NMT options. </w:t>
      </w:r>
      <w:r w:rsidR="003904A2">
        <w:t xml:space="preserve">These are pointers for cities to adopt ‘green’ strategies on streets leading to transit hubs through better </w:t>
      </w:r>
      <w:proofErr w:type="spellStart"/>
      <w:r w:rsidR="003904A2">
        <w:t>placemaking</w:t>
      </w:r>
      <w:proofErr w:type="spellEnd"/>
      <w:r w:rsidR="003904A2" w:rsidRPr="002F1225">
        <w:rPr>
          <w:bCs/>
        </w:rPr>
        <w:t xml:space="preserve"> </w:t>
      </w:r>
      <w:r w:rsidR="003904A2">
        <w:rPr>
          <w:bCs/>
        </w:rPr>
        <w:t xml:space="preserve">for </w:t>
      </w:r>
      <w:r w:rsidR="00BC70E2">
        <w:rPr>
          <w:bCs/>
        </w:rPr>
        <w:t>healthier,</w:t>
      </w:r>
      <w:r w:rsidR="003904A2">
        <w:rPr>
          <w:bCs/>
        </w:rPr>
        <w:t xml:space="preserve"> sustainable </w:t>
      </w:r>
      <w:r w:rsidR="00BC70E2">
        <w:rPr>
          <w:bCs/>
        </w:rPr>
        <w:t xml:space="preserve">and people-friendly </w:t>
      </w:r>
      <w:r w:rsidR="003904A2">
        <w:rPr>
          <w:bCs/>
        </w:rPr>
        <w:t xml:space="preserve">modes of transport. </w:t>
      </w:r>
    </w:p>
    <w:p w14:paraId="40C2E575" w14:textId="1D45488A" w:rsidR="00F26757" w:rsidRPr="002F1225" w:rsidRDefault="00F26757" w:rsidP="006D2F97">
      <w:pPr>
        <w:widowControl w:val="0"/>
        <w:ind w:firstLine="720"/>
        <w:jc w:val="left"/>
      </w:pPr>
      <w:r w:rsidRPr="002F1225">
        <w:rPr>
          <w:lang w:val="en-US"/>
        </w:rPr>
        <w:t xml:space="preserve">More than 10 years since its first operation, Delhi metro </w:t>
      </w:r>
      <w:r w:rsidR="004746F7">
        <w:rPr>
          <w:lang w:val="en-US"/>
        </w:rPr>
        <w:t xml:space="preserve">agency </w:t>
      </w:r>
      <w:r w:rsidRPr="002F1225">
        <w:rPr>
          <w:lang w:val="en-US"/>
        </w:rPr>
        <w:t xml:space="preserve">is yet to prepare a plan, which addresses LMC issues in a </w:t>
      </w:r>
      <w:proofErr w:type="spellStart"/>
      <w:r w:rsidRPr="002F1225">
        <w:rPr>
          <w:lang w:val="en-US"/>
        </w:rPr>
        <w:t>wholistic</w:t>
      </w:r>
      <w:proofErr w:type="spellEnd"/>
      <w:r w:rsidRPr="002F1225">
        <w:rPr>
          <w:lang w:val="en-US"/>
        </w:rPr>
        <w:t xml:space="preserve"> manner. Ad-hoc efforts in the form of starting feeder routes, which cover a miniscule percentage of total stations (less than 15%) and public bike sharing at 3-4 stations, do not indicate of the seriousness that the issue requires. The callousness of transport agencies towards lack of provision or demarcation of spaces for </w:t>
      </w:r>
      <w:r>
        <w:rPr>
          <w:lang w:val="en-US"/>
        </w:rPr>
        <w:t>environmentally sustainable</w:t>
      </w:r>
      <w:r w:rsidRPr="002F1225">
        <w:rPr>
          <w:lang w:val="en-US"/>
        </w:rPr>
        <w:t xml:space="preserve"> modes at stations, while ensuring </w:t>
      </w:r>
      <w:r w:rsidR="004746F7">
        <w:rPr>
          <w:lang w:val="en-US"/>
        </w:rPr>
        <w:t xml:space="preserve">large </w:t>
      </w:r>
      <w:r w:rsidRPr="002F1225">
        <w:rPr>
          <w:lang w:val="en-US"/>
        </w:rPr>
        <w:t xml:space="preserve">private vehicle parking spaces wherever possible also speaks volumes of the attitude towards NMT users. </w:t>
      </w:r>
      <w:r w:rsidRPr="002F1225">
        <w:t>NMT have a clear edge over other motorized modes, especially for short distance trips as they have zero carbon emission, and greater flexibility and accessibility.</w:t>
      </w:r>
      <w:r>
        <w:t xml:space="preserve"> </w:t>
      </w:r>
      <w:r w:rsidRPr="002F1225">
        <w:rPr>
          <w:bCs/>
        </w:rPr>
        <w:t>Despite the heavy patronage, there is little attention given to creating a reasonably good environment for NMT.</w:t>
      </w:r>
      <w:r>
        <w:rPr>
          <w:bCs/>
        </w:rPr>
        <w:t xml:space="preserve"> </w:t>
      </w:r>
      <w:r w:rsidRPr="002F1225">
        <w:rPr>
          <w:lang w:val="en-US"/>
        </w:rPr>
        <w:t xml:space="preserve">The key </w:t>
      </w:r>
      <w:r w:rsidR="004746F7" w:rsidRPr="002F1225">
        <w:rPr>
          <w:lang w:val="en-US"/>
        </w:rPr>
        <w:t>challenge</w:t>
      </w:r>
      <w:r w:rsidRPr="002F1225">
        <w:rPr>
          <w:lang w:val="en-US"/>
        </w:rPr>
        <w:t xml:space="preserve"> is </w:t>
      </w:r>
      <w:r w:rsidR="004746F7" w:rsidRPr="002F1225">
        <w:rPr>
          <w:lang w:val="en-US"/>
        </w:rPr>
        <w:t>in building safe and comfortable NMT friendly environment in the larger context, given that most of Delhi roads lack even the basic pedestrian infrastructure, that is, sidewalks.</w:t>
      </w:r>
      <w:r w:rsidR="004746F7">
        <w:rPr>
          <w:lang w:val="en-US"/>
        </w:rPr>
        <w:t xml:space="preserve"> </w:t>
      </w:r>
      <w:r w:rsidR="004746F7" w:rsidRPr="002F1225">
        <w:rPr>
          <w:lang w:val="en-US"/>
        </w:rPr>
        <w:t xml:space="preserve">Another challenge is </w:t>
      </w:r>
      <w:r w:rsidRPr="002F1225">
        <w:rPr>
          <w:lang w:val="en-US"/>
        </w:rPr>
        <w:t xml:space="preserve">to create sensitivity amongst </w:t>
      </w:r>
      <w:r w:rsidR="004746F7">
        <w:rPr>
          <w:lang w:val="en-US"/>
        </w:rPr>
        <w:t xml:space="preserve">planners and </w:t>
      </w:r>
      <w:r w:rsidRPr="002F1225">
        <w:rPr>
          <w:lang w:val="en-US"/>
        </w:rPr>
        <w:t xml:space="preserve">transit planning agencies towards the role that LMC can play in increasing the overall transit ridership and thereby profitability. </w:t>
      </w:r>
    </w:p>
    <w:p w14:paraId="346CDAB6" w14:textId="1DE7B353" w:rsidR="002646C2" w:rsidRPr="002F1225" w:rsidRDefault="00F26757" w:rsidP="00F26757">
      <w:pPr>
        <w:ind w:firstLine="720"/>
      </w:pPr>
      <w:r>
        <w:rPr>
          <w:lang w:val="en-US"/>
        </w:rPr>
        <w:t>Provisioning of NMT infrastructure also makes economic sense. An ADB (2010) report observes that u</w:t>
      </w:r>
      <w:r w:rsidRPr="002F1225">
        <w:rPr>
          <w:lang w:val="en-US"/>
        </w:rPr>
        <w:t>sing the same money as required for constructing 1</w:t>
      </w:r>
      <w:r>
        <w:rPr>
          <w:lang w:val="en-US"/>
        </w:rPr>
        <w:t xml:space="preserve"> km of metro, one can construct 18 km of BRTS, 235 km of b</w:t>
      </w:r>
      <w:r w:rsidRPr="002F1225">
        <w:rPr>
          <w:lang w:val="en-US"/>
        </w:rPr>
        <w:t>ikeways, 350 km of footpaths</w:t>
      </w:r>
      <w:r>
        <w:rPr>
          <w:lang w:val="en-US"/>
        </w:rPr>
        <w:t xml:space="preserve">. However, </w:t>
      </w:r>
      <w:r w:rsidR="006078A9">
        <w:t>i</w:t>
      </w:r>
      <w:r w:rsidR="00AB71EF" w:rsidRPr="002F1225">
        <w:t xml:space="preserve">t is also not sufficient to merely create sidewalks and cycle lanes. The walking and cycling conditions will determine how well these facilities are put to use. Cities like Singapore, Guangzhou have created extensive networks of sheltered or landscaped walkways connecting the transit hubs. This is of utmost significance for Indian cities, given </w:t>
      </w:r>
      <w:r>
        <w:t>the</w:t>
      </w:r>
      <w:r w:rsidR="00AB71EF" w:rsidRPr="002F1225">
        <w:t xml:space="preserve"> harsh climatic conditions.</w:t>
      </w:r>
      <w:r>
        <w:t xml:space="preserve"> </w:t>
      </w:r>
      <w:r w:rsidR="00AB71EF" w:rsidRPr="002F1225">
        <w:t xml:space="preserve">It is </w:t>
      </w:r>
      <w:r>
        <w:t xml:space="preserve">equally </w:t>
      </w:r>
      <w:r w:rsidR="00AB71EF" w:rsidRPr="002F1225">
        <w:t xml:space="preserve">important to give commuters choices of modes. The study also </w:t>
      </w:r>
      <w:r w:rsidR="006078A9">
        <w:t>indicates</w:t>
      </w:r>
      <w:r w:rsidR="00AB71EF" w:rsidRPr="002F1225">
        <w:t xml:space="preserve"> that standard prescriptive solutions cannot be implemented across all </w:t>
      </w:r>
      <w:r w:rsidR="006078A9">
        <w:t>stations; c</w:t>
      </w:r>
      <w:r w:rsidR="00AB71EF" w:rsidRPr="002F1225">
        <w:t xml:space="preserve">ontextual planning is important. While certain NMT options may be extremely suitable for a particular situation, the same may be meaningless in other circumstances. Local context specific planning guideline for LMC is required. Environment-friendly and people-friendly modes such as cycle-rickshaw, battery operated rickshaws (which are already plying in certain parts of the city) can play a great role in enhancing LMC in Delhi and many other Indian cities. </w:t>
      </w:r>
    </w:p>
    <w:p w14:paraId="4C3AC19E" w14:textId="6C643596" w:rsidR="00BC70E2" w:rsidRDefault="00A00019" w:rsidP="00A00019">
      <w:pPr>
        <w:widowControl w:val="0"/>
        <w:ind w:firstLine="720"/>
        <w:jc w:val="left"/>
        <w:rPr>
          <w:lang w:val="en-US"/>
        </w:rPr>
      </w:pPr>
      <w:r>
        <w:rPr>
          <w:lang w:val="en-US"/>
        </w:rPr>
        <w:t>Last but not the least, i</w:t>
      </w:r>
      <w:r w:rsidR="00810987">
        <w:rPr>
          <w:lang w:val="en-US"/>
        </w:rPr>
        <w:t xml:space="preserve">f cities like Delhi want to reverse their downward trend of public transport </w:t>
      </w:r>
      <w:r>
        <w:rPr>
          <w:lang w:val="en-US"/>
        </w:rPr>
        <w:t>modal share</w:t>
      </w:r>
      <w:r w:rsidR="00810987">
        <w:rPr>
          <w:lang w:val="en-US"/>
        </w:rPr>
        <w:t>, t</w:t>
      </w:r>
      <w:r w:rsidR="00BC70E2">
        <w:rPr>
          <w:lang w:val="en-US"/>
        </w:rPr>
        <w:t>he</w:t>
      </w:r>
      <w:r w:rsidR="00323264">
        <w:rPr>
          <w:lang w:val="en-US"/>
        </w:rPr>
        <w:t>ir</w:t>
      </w:r>
      <w:r w:rsidR="00BC70E2">
        <w:rPr>
          <w:lang w:val="en-US"/>
        </w:rPr>
        <w:t xml:space="preserve"> </w:t>
      </w:r>
      <w:r w:rsidR="00810987">
        <w:rPr>
          <w:lang w:val="en-US"/>
        </w:rPr>
        <w:t>transport priority needs</w:t>
      </w:r>
      <w:r w:rsidR="00BC70E2">
        <w:rPr>
          <w:lang w:val="en-US"/>
        </w:rPr>
        <w:t xml:space="preserve"> to reverse</w:t>
      </w:r>
      <w:r w:rsidR="00810987">
        <w:rPr>
          <w:lang w:val="en-US"/>
        </w:rPr>
        <w:t>: ‘green’ the ‘last’ mile first</w:t>
      </w:r>
      <w:r w:rsidR="00BC70E2">
        <w:rPr>
          <w:lang w:val="en-US"/>
        </w:rPr>
        <w:t xml:space="preserve"> and then expand the transit network</w:t>
      </w:r>
      <w:r w:rsidR="00810987">
        <w:rPr>
          <w:lang w:val="en-US"/>
        </w:rPr>
        <w:t xml:space="preserve">; for, it </w:t>
      </w:r>
      <w:r w:rsidR="00323264">
        <w:rPr>
          <w:lang w:val="en-US"/>
        </w:rPr>
        <w:t xml:space="preserve">is </w:t>
      </w:r>
      <w:r w:rsidR="00810987">
        <w:rPr>
          <w:lang w:val="en-US"/>
        </w:rPr>
        <w:t xml:space="preserve">also </w:t>
      </w:r>
      <w:r>
        <w:rPr>
          <w:lang w:val="en-US"/>
        </w:rPr>
        <w:t xml:space="preserve">somewhat </w:t>
      </w:r>
      <w:r w:rsidR="00323264">
        <w:rPr>
          <w:lang w:val="en-US"/>
        </w:rPr>
        <w:t>documented</w:t>
      </w:r>
      <w:r w:rsidR="00810987">
        <w:rPr>
          <w:lang w:val="en-US"/>
        </w:rPr>
        <w:t xml:space="preserve"> that the commuter may </w:t>
      </w:r>
      <w:r>
        <w:rPr>
          <w:lang w:val="en-US"/>
        </w:rPr>
        <w:t xml:space="preserve">be willing to </w:t>
      </w:r>
      <w:r w:rsidR="00810987">
        <w:rPr>
          <w:lang w:val="en-US"/>
        </w:rPr>
        <w:t>stretch the last mile to ‘over a mile’ in greener conditions.</w:t>
      </w:r>
    </w:p>
    <w:p w14:paraId="002BEA3F" w14:textId="05FC87AA" w:rsidR="0063478B" w:rsidRPr="002F1225" w:rsidRDefault="0063478B" w:rsidP="0063478B">
      <w:pPr>
        <w:widowControl w:val="0"/>
        <w:jc w:val="left"/>
        <w:rPr>
          <w:lang w:val="en-US"/>
        </w:rPr>
      </w:pPr>
    </w:p>
    <w:p w14:paraId="4F0F39C1" w14:textId="77777777" w:rsidR="002646C2" w:rsidRDefault="002646C2" w:rsidP="00607D4D">
      <w:pPr>
        <w:widowControl w:val="0"/>
        <w:jc w:val="left"/>
        <w:rPr>
          <w:b/>
        </w:rPr>
      </w:pPr>
    </w:p>
    <w:p w14:paraId="064FF30A" w14:textId="442B8652" w:rsidR="00545F25" w:rsidRPr="00545F25" w:rsidRDefault="00545F25" w:rsidP="00607D4D">
      <w:pPr>
        <w:widowControl w:val="0"/>
        <w:jc w:val="left"/>
        <w:rPr>
          <w:b/>
        </w:rPr>
      </w:pPr>
      <w:r w:rsidRPr="00545F25">
        <w:rPr>
          <w:b/>
        </w:rPr>
        <w:t>References</w:t>
      </w:r>
    </w:p>
    <w:p w14:paraId="1A92900F" w14:textId="77777777" w:rsidR="00622482" w:rsidRDefault="00622482" w:rsidP="00607D4D">
      <w:pPr>
        <w:widowControl w:val="0"/>
        <w:jc w:val="left"/>
      </w:pPr>
    </w:p>
    <w:p w14:paraId="3F6C611B" w14:textId="64964877" w:rsidR="008A2643" w:rsidRPr="006078A9" w:rsidRDefault="008A2643" w:rsidP="006078A9">
      <w:pPr>
        <w:rPr>
          <w:bCs/>
          <w:sz w:val="20"/>
          <w:szCs w:val="20"/>
          <w:lang w:val="en-US"/>
        </w:rPr>
      </w:pPr>
      <w:r>
        <w:rPr>
          <w:bCs/>
          <w:sz w:val="20"/>
          <w:szCs w:val="20"/>
          <w:lang w:val="en-US"/>
        </w:rPr>
        <w:t xml:space="preserve">Asian Development Bank (ADB), 2010. </w:t>
      </w:r>
      <w:r w:rsidRPr="008A2643">
        <w:rPr>
          <w:bCs/>
          <w:sz w:val="20"/>
          <w:szCs w:val="20"/>
          <w:lang w:val="en-US"/>
        </w:rPr>
        <w:t>Walkability and Pedestrian Facilities in Asian Cities: State and Issues</w:t>
      </w:r>
      <w:r>
        <w:rPr>
          <w:bCs/>
          <w:sz w:val="20"/>
          <w:szCs w:val="20"/>
          <w:lang w:val="en-US"/>
        </w:rPr>
        <w:t xml:space="preserve">. </w:t>
      </w:r>
      <w:r w:rsidRPr="008A2643">
        <w:rPr>
          <w:bCs/>
          <w:sz w:val="20"/>
          <w:szCs w:val="20"/>
          <w:lang w:val="en-US"/>
        </w:rPr>
        <w:t>ADB Sustainable D</w:t>
      </w:r>
      <w:r w:rsidR="006078A9">
        <w:rPr>
          <w:bCs/>
          <w:sz w:val="20"/>
          <w:szCs w:val="20"/>
          <w:lang w:val="en-US"/>
        </w:rPr>
        <w:t>evelopment Working Paper Series</w:t>
      </w:r>
    </w:p>
    <w:p w14:paraId="74FA535A" w14:textId="77777777" w:rsidR="008A2643" w:rsidRDefault="008A2643" w:rsidP="00C472D7">
      <w:pPr>
        <w:ind w:left="284" w:hanging="284"/>
        <w:rPr>
          <w:sz w:val="20"/>
          <w:szCs w:val="20"/>
        </w:rPr>
      </w:pPr>
    </w:p>
    <w:p w14:paraId="10E7B621" w14:textId="30694C58" w:rsidR="00C472D7" w:rsidRPr="000C007B" w:rsidRDefault="008A2643" w:rsidP="006078A9">
      <w:pPr>
        <w:rPr>
          <w:sz w:val="20"/>
          <w:szCs w:val="20"/>
        </w:rPr>
      </w:pPr>
      <w:r>
        <w:rPr>
          <w:sz w:val="20"/>
          <w:szCs w:val="20"/>
        </w:rPr>
        <w:t>Centre for Science and Environment (</w:t>
      </w:r>
      <w:r w:rsidR="00C472D7" w:rsidRPr="000C007B">
        <w:rPr>
          <w:sz w:val="20"/>
          <w:szCs w:val="20"/>
        </w:rPr>
        <w:t>CSE</w:t>
      </w:r>
      <w:r>
        <w:rPr>
          <w:sz w:val="20"/>
          <w:szCs w:val="20"/>
        </w:rPr>
        <w:t>)</w:t>
      </w:r>
      <w:r w:rsidR="00C472D7">
        <w:rPr>
          <w:sz w:val="20"/>
          <w:szCs w:val="20"/>
        </w:rPr>
        <w:t>, 2013</w:t>
      </w:r>
      <w:r w:rsidR="00C472D7" w:rsidRPr="000C007B">
        <w:rPr>
          <w:sz w:val="20"/>
          <w:szCs w:val="20"/>
        </w:rPr>
        <w:t>. “Good news &amp; bad news: clearing the air in Indian cities”. CSE, New Delhi.</w:t>
      </w:r>
    </w:p>
    <w:p w14:paraId="2442D8BF" w14:textId="77777777" w:rsidR="00C472D7" w:rsidRPr="000C007B" w:rsidRDefault="00C472D7" w:rsidP="00C472D7">
      <w:pPr>
        <w:ind w:left="284" w:hanging="284"/>
        <w:rPr>
          <w:sz w:val="20"/>
          <w:szCs w:val="20"/>
        </w:rPr>
      </w:pPr>
    </w:p>
    <w:p w14:paraId="3381D92D" w14:textId="36F4C8CC" w:rsidR="00C472D7" w:rsidRPr="000C007B" w:rsidRDefault="00C472D7" w:rsidP="00C472D7">
      <w:pPr>
        <w:ind w:left="284" w:hanging="284"/>
        <w:rPr>
          <w:sz w:val="20"/>
          <w:szCs w:val="20"/>
        </w:rPr>
      </w:pPr>
      <w:proofErr w:type="gramStart"/>
      <w:r>
        <w:rPr>
          <w:sz w:val="20"/>
          <w:szCs w:val="20"/>
        </w:rPr>
        <w:t>CSE, 2014</w:t>
      </w:r>
      <w:r w:rsidRPr="000C007B">
        <w:rPr>
          <w:sz w:val="20"/>
          <w:szCs w:val="20"/>
        </w:rPr>
        <w:t>.</w:t>
      </w:r>
      <w:proofErr w:type="gramEnd"/>
      <w:r w:rsidRPr="000C007B">
        <w:rPr>
          <w:sz w:val="20"/>
          <w:szCs w:val="20"/>
        </w:rPr>
        <w:t xml:space="preserve"> “Right of way: An assessment of safety and accessibility of roads in Indian cities”. CSE, New Delhi.</w:t>
      </w:r>
    </w:p>
    <w:p w14:paraId="7D2BB5BB" w14:textId="77777777" w:rsidR="00C472D7" w:rsidRDefault="00C472D7" w:rsidP="00D66CCA">
      <w:pPr>
        <w:widowControl w:val="0"/>
        <w:jc w:val="left"/>
        <w:rPr>
          <w:sz w:val="20"/>
          <w:szCs w:val="20"/>
          <w:lang w:val="en-US"/>
        </w:rPr>
      </w:pPr>
    </w:p>
    <w:p w14:paraId="3622C4AC" w14:textId="0A3CAE7C" w:rsidR="00CC6E3C" w:rsidRPr="00CC6E3C" w:rsidRDefault="00CC6E3C" w:rsidP="00CC6E3C">
      <w:pPr>
        <w:widowControl w:val="0"/>
        <w:jc w:val="left"/>
        <w:rPr>
          <w:sz w:val="20"/>
          <w:szCs w:val="20"/>
          <w:lang w:val="en-US"/>
        </w:rPr>
      </w:pPr>
      <w:proofErr w:type="spellStart"/>
      <w:proofErr w:type="gramStart"/>
      <w:r w:rsidRPr="00CC6E3C">
        <w:rPr>
          <w:sz w:val="20"/>
          <w:szCs w:val="20"/>
          <w:lang w:val="en-US"/>
        </w:rPr>
        <w:t>Cervero</w:t>
      </w:r>
      <w:proofErr w:type="spellEnd"/>
      <w:r w:rsidRPr="00CC6E3C">
        <w:rPr>
          <w:sz w:val="20"/>
          <w:szCs w:val="20"/>
          <w:lang w:val="en-US"/>
        </w:rPr>
        <w:t>, R.</w:t>
      </w:r>
      <w:r>
        <w:rPr>
          <w:sz w:val="20"/>
          <w:szCs w:val="20"/>
          <w:lang w:val="en-US"/>
        </w:rPr>
        <w:t>, 2002</w:t>
      </w:r>
      <w:r w:rsidRPr="00CC6E3C">
        <w:rPr>
          <w:sz w:val="20"/>
          <w:szCs w:val="20"/>
          <w:lang w:val="en-US"/>
        </w:rPr>
        <w:t>.</w:t>
      </w:r>
      <w:proofErr w:type="gramEnd"/>
      <w:r w:rsidRPr="00CC6E3C">
        <w:rPr>
          <w:sz w:val="20"/>
          <w:szCs w:val="20"/>
          <w:lang w:val="en-US"/>
        </w:rPr>
        <w:t xml:space="preserve"> Built environments and mode choice: toward a normative framework. Transportation Research Part D: Transport and Environment, 7, 265-284.</w:t>
      </w:r>
    </w:p>
    <w:p w14:paraId="1B740ABE" w14:textId="77777777" w:rsidR="00CC6E3C" w:rsidRDefault="00CC6E3C" w:rsidP="002B04F0">
      <w:pPr>
        <w:widowControl w:val="0"/>
        <w:jc w:val="left"/>
        <w:rPr>
          <w:sz w:val="20"/>
          <w:szCs w:val="20"/>
          <w:lang w:val="en-US"/>
        </w:rPr>
      </w:pPr>
    </w:p>
    <w:p w14:paraId="14848488" w14:textId="6C2FE802" w:rsidR="002B04F0" w:rsidRDefault="002B04F0" w:rsidP="002B04F0">
      <w:pPr>
        <w:widowControl w:val="0"/>
        <w:jc w:val="left"/>
        <w:rPr>
          <w:sz w:val="20"/>
          <w:szCs w:val="20"/>
          <w:lang w:val="en-US"/>
        </w:rPr>
      </w:pPr>
      <w:proofErr w:type="spellStart"/>
      <w:r w:rsidRPr="002B04F0">
        <w:rPr>
          <w:sz w:val="20"/>
          <w:szCs w:val="20"/>
          <w:lang w:val="en-US"/>
        </w:rPr>
        <w:t>Cervero</w:t>
      </w:r>
      <w:proofErr w:type="spellEnd"/>
      <w:r w:rsidRPr="002B04F0">
        <w:rPr>
          <w:sz w:val="20"/>
          <w:szCs w:val="20"/>
          <w:lang w:val="en-US"/>
        </w:rPr>
        <w:t xml:space="preserve">, R. </w:t>
      </w:r>
      <w:r>
        <w:rPr>
          <w:sz w:val="20"/>
          <w:szCs w:val="20"/>
          <w:lang w:val="en-US"/>
        </w:rPr>
        <w:t xml:space="preserve">and </w:t>
      </w:r>
      <w:proofErr w:type="spellStart"/>
      <w:r>
        <w:rPr>
          <w:sz w:val="20"/>
          <w:szCs w:val="20"/>
          <w:lang w:val="en-US"/>
        </w:rPr>
        <w:t>Kockelman</w:t>
      </w:r>
      <w:proofErr w:type="spellEnd"/>
      <w:r>
        <w:rPr>
          <w:sz w:val="20"/>
          <w:szCs w:val="20"/>
          <w:lang w:val="en-US"/>
        </w:rPr>
        <w:t>, K., 1997</w:t>
      </w:r>
      <w:r w:rsidRPr="002B04F0">
        <w:rPr>
          <w:sz w:val="20"/>
          <w:szCs w:val="20"/>
          <w:lang w:val="en-US"/>
        </w:rPr>
        <w:t xml:space="preserve">. Travel demand and the 3Ds: density, diversity, and design. </w:t>
      </w:r>
      <w:r w:rsidRPr="002B04F0">
        <w:rPr>
          <w:i/>
          <w:sz w:val="20"/>
          <w:szCs w:val="20"/>
          <w:lang w:val="en-US"/>
        </w:rPr>
        <w:t>Transportation Research Part D: Transport and Environment</w:t>
      </w:r>
      <w:r w:rsidRPr="002B04F0">
        <w:rPr>
          <w:sz w:val="20"/>
          <w:szCs w:val="20"/>
          <w:lang w:val="en-US"/>
        </w:rPr>
        <w:t xml:space="preserve">, 2, </w:t>
      </w:r>
      <w:r>
        <w:rPr>
          <w:sz w:val="20"/>
          <w:szCs w:val="20"/>
          <w:lang w:val="en-US"/>
        </w:rPr>
        <w:t xml:space="preserve">pp. </w:t>
      </w:r>
      <w:r w:rsidRPr="002B04F0">
        <w:rPr>
          <w:sz w:val="20"/>
          <w:szCs w:val="20"/>
          <w:lang w:val="en-US"/>
        </w:rPr>
        <w:t>199-219.</w:t>
      </w:r>
    </w:p>
    <w:p w14:paraId="4C379CF2" w14:textId="77777777" w:rsidR="002B04F0" w:rsidRPr="002B04F0" w:rsidRDefault="002B04F0" w:rsidP="002B04F0">
      <w:pPr>
        <w:widowControl w:val="0"/>
        <w:jc w:val="left"/>
        <w:rPr>
          <w:sz w:val="20"/>
          <w:szCs w:val="20"/>
          <w:lang w:val="en-US"/>
        </w:rPr>
      </w:pPr>
    </w:p>
    <w:p w14:paraId="03CF6C3A" w14:textId="4F0D0D66" w:rsidR="00D66CCA" w:rsidRPr="00D66CCA" w:rsidRDefault="00D66CCA" w:rsidP="00D66CCA">
      <w:pPr>
        <w:widowControl w:val="0"/>
        <w:jc w:val="left"/>
        <w:rPr>
          <w:sz w:val="20"/>
          <w:szCs w:val="20"/>
          <w:lang w:val="en-US"/>
        </w:rPr>
      </w:pPr>
      <w:proofErr w:type="spellStart"/>
      <w:r w:rsidRPr="00D66CCA">
        <w:rPr>
          <w:sz w:val="20"/>
          <w:szCs w:val="20"/>
          <w:lang w:val="en-US"/>
        </w:rPr>
        <w:t>Cervero</w:t>
      </w:r>
      <w:proofErr w:type="spellEnd"/>
      <w:r w:rsidRPr="00D66CCA">
        <w:rPr>
          <w:sz w:val="20"/>
          <w:szCs w:val="20"/>
          <w:lang w:val="en-US"/>
        </w:rPr>
        <w:t xml:space="preserve"> R.</w:t>
      </w:r>
      <w:r w:rsidR="00C472D7">
        <w:rPr>
          <w:sz w:val="20"/>
          <w:szCs w:val="20"/>
          <w:lang w:val="en-US"/>
        </w:rPr>
        <w:t>,</w:t>
      </w:r>
      <w:r w:rsidRPr="00D66CCA">
        <w:rPr>
          <w:sz w:val="20"/>
          <w:szCs w:val="20"/>
          <w:lang w:val="en-US"/>
        </w:rPr>
        <w:t xml:space="preserve"> 1996. Mixed land uses and commuting: evidence from the American housing survey.</w:t>
      </w:r>
      <w:r>
        <w:rPr>
          <w:sz w:val="20"/>
          <w:szCs w:val="20"/>
          <w:lang w:val="en-US"/>
        </w:rPr>
        <w:t xml:space="preserve"> </w:t>
      </w:r>
      <w:r w:rsidRPr="00D66CCA">
        <w:rPr>
          <w:i/>
          <w:iCs/>
          <w:sz w:val="20"/>
          <w:szCs w:val="20"/>
          <w:lang w:val="en-US"/>
        </w:rPr>
        <w:t>Transportation Research</w:t>
      </w:r>
      <w:r w:rsidRPr="00D66CCA">
        <w:rPr>
          <w:sz w:val="20"/>
          <w:szCs w:val="20"/>
          <w:lang w:val="en-US"/>
        </w:rPr>
        <w:t xml:space="preserve">, vol. 30, no. 5, </w:t>
      </w:r>
      <w:r w:rsidR="002B04F0">
        <w:rPr>
          <w:sz w:val="20"/>
          <w:szCs w:val="20"/>
          <w:lang w:val="en-US"/>
        </w:rPr>
        <w:t xml:space="preserve">pp. </w:t>
      </w:r>
      <w:r w:rsidRPr="00D66CCA">
        <w:rPr>
          <w:sz w:val="20"/>
          <w:szCs w:val="20"/>
          <w:lang w:val="en-US"/>
        </w:rPr>
        <w:t>361-377.</w:t>
      </w:r>
    </w:p>
    <w:p w14:paraId="146078E8" w14:textId="77777777" w:rsidR="00D66CCA" w:rsidRPr="00D66CCA" w:rsidRDefault="00D66CCA" w:rsidP="00607D4D">
      <w:pPr>
        <w:widowControl w:val="0"/>
        <w:jc w:val="left"/>
        <w:rPr>
          <w:sz w:val="20"/>
          <w:szCs w:val="20"/>
        </w:rPr>
      </w:pPr>
    </w:p>
    <w:p w14:paraId="48820108" w14:textId="33EFE3CA" w:rsidR="006A0E4F" w:rsidRPr="000C007B" w:rsidRDefault="006A0E4F" w:rsidP="006866C5">
      <w:pPr>
        <w:rPr>
          <w:rFonts w:eastAsiaTheme="minorEastAsia"/>
          <w:sz w:val="20"/>
          <w:szCs w:val="20"/>
        </w:rPr>
      </w:pPr>
      <w:r w:rsidRPr="000C007B">
        <w:rPr>
          <w:rFonts w:eastAsiaTheme="minorEastAsia"/>
          <w:sz w:val="20"/>
          <w:szCs w:val="20"/>
        </w:rPr>
        <w:t xml:space="preserve">Delhimetrorail.com </w:t>
      </w:r>
      <w:r w:rsidR="006866C5">
        <w:rPr>
          <w:rFonts w:eastAsiaTheme="minorEastAsia"/>
          <w:sz w:val="20"/>
          <w:szCs w:val="20"/>
        </w:rPr>
        <w:t>available from:</w:t>
      </w:r>
      <w:r w:rsidRPr="000C007B">
        <w:rPr>
          <w:rFonts w:eastAsiaTheme="minorEastAsia"/>
          <w:sz w:val="20"/>
          <w:szCs w:val="20"/>
        </w:rPr>
        <w:t xml:space="preserve"> </w:t>
      </w:r>
      <w:hyperlink r:id="rId11" w:history="1">
        <w:r w:rsidR="006866C5" w:rsidRPr="00650975">
          <w:rPr>
            <w:rStyle w:val="Hyperlink"/>
            <w:rFonts w:eastAsiaTheme="minorEastAsia"/>
            <w:sz w:val="20"/>
            <w:szCs w:val="20"/>
          </w:rPr>
          <w:t>http://www.delhimetrorail.com/Phase-III_documetnt/pdf/61PH-III_DMRC_-Model.pdf</w:t>
        </w:r>
      </w:hyperlink>
      <w:r w:rsidR="006866C5">
        <w:rPr>
          <w:rFonts w:eastAsiaTheme="minorEastAsia"/>
          <w:sz w:val="20"/>
          <w:szCs w:val="20"/>
        </w:rPr>
        <w:t xml:space="preserve"> </w:t>
      </w:r>
      <w:r w:rsidRPr="000C007B">
        <w:rPr>
          <w:rFonts w:eastAsiaTheme="minorEastAsia"/>
          <w:sz w:val="20"/>
          <w:szCs w:val="20"/>
        </w:rPr>
        <w:t xml:space="preserve"> [accessed 5</w:t>
      </w:r>
      <w:r w:rsidRPr="000C007B">
        <w:rPr>
          <w:rFonts w:eastAsiaTheme="minorEastAsia"/>
          <w:sz w:val="20"/>
          <w:szCs w:val="20"/>
          <w:vertAlign w:val="superscript"/>
        </w:rPr>
        <w:t>th</w:t>
      </w:r>
      <w:r w:rsidRPr="000C007B">
        <w:rPr>
          <w:rFonts w:eastAsiaTheme="minorEastAsia"/>
          <w:sz w:val="20"/>
          <w:szCs w:val="20"/>
        </w:rPr>
        <w:t xml:space="preserve"> May, 2015]</w:t>
      </w:r>
    </w:p>
    <w:p w14:paraId="3E6E5BCF" w14:textId="77777777" w:rsidR="006A0E4F" w:rsidRPr="000C007B" w:rsidRDefault="006A0E4F" w:rsidP="006A0E4F">
      <w:pPr>
        <w:ind w:left="284" w:hanging="284"/>
        <w:rPr>
          <w:sz w:val="20"/>
          <w:szCs w:val="20"/>
        </w:rPr>
      </w:pPr>
    </w:p>
    <w:p w14:paraId="33880200" w14:textId="0F11C2A8" w:rsidR="00EE07ED" w:rsidRDefault="006A0E4F" w:rsidP="006866C5">
      <w:pPr>
        <w:rPr>
          <w:sz w:val="20"/>
          <w:szCs w:val="20"/>
        </w:rPr>
      </w:pPr>
      <w:proofErr w:type="gramStart"/>
      <w:r>
        <w:rPr>
          <w:sz w:val="20"/>
          <w:szCs w:val="20"/>
        </w:rPr>
        <w:t>DMRC</w:t>
      </w:r>
      <w:r w:rsidR="006866C5">
        <w:rPr>
          <w:sz w:val="20"/>
          <w:szCs w:val="20"/>
        </w:rPr>
        <w:t>, 2014</w:t>
      </w:r>
      <w:r w:rsidRPr="000C007B">
        <w:rPr>
          <w:sz w:val="20"/>
          <w:szCs w:val="20"/>
        </w:rPr>
        <w:t>.</w:t>
      </w:r>
      <w:proofErr w:type="gramEnd"/>
      <w:r w:rsidRPr="000C007B">
        <w:rPr>
          <w:sz w:val="20"/>
          <w:szCs w:val="20"/>
        </w:rPr>
        <w:t xml:space="preserve"> Annual Report, 2013-2014 </w:t>
      </w:r>
      <w:r w:rsidR="006866C5">
        <w:rPr>
          <w:rStyle w:val="apple-converted-space"/>
          <w:color w:val="252525"/>
          <w:sz w:val="20"/>
          <w:szCs w:val="20"/>
        </w:rPr>
        <w:t xml:space="preserve"> [online] Available from: </w:t>
      </w:r>
      <w:hyperlink r:id="rId12" w:history="1">
        <w:r w:rsidR="006866C5" w:rsidRPr="00650975">
          <w:rPr>
            <w:rStyle w:val="Hyperlink"/>
            <w:sz w:val="20"/>
            <w:szCs w:val="20"/>
          </w:rPr>
          <w:t>http://www.delhimetrorail.com/OtherDocuments/EnglishAR201314Low.pdf</w:t>
        </w:r>
      </w:hyperlink>
      <w:r w:rsidR="006866C5">
        <w:rPr>
          <w:rStyle w:val="apple-converted-space"/>
          <w:color w:val="252525"/>
          <w:sz w:val="20"/>
          <w:szCs w:val="20"/>
        </w:rPr>
        <w:t xml:space="preserve"> </w:t>
      </w:r>
      <w:r w:rsidRPr="000C007B">
        <w:rPr>
          <w:rStyle w:val="apple-converted-space"/>
          <w:color w:val="252525"/>
          <w:sz w:val="20"/>
          <w:szCs w:val="20"/>
        </w:rPr>
        <w:t xml:space="preserve"> [accessed 5</w:t>
      </w:r>
      <w:r w:rsidRPr="000C007B">
        <w:rPr>
          <w:rStyle w:val="apple-converted-space"/>
          <w:color w:val="252525"/>
          <w:sz w:val="20"/>
          <w:szCs w:val="20"/>
          <w:vertAlign w:val="superscript"/>
        </w:rPr>
        <w:t>th</w:t>
      </w:r>
      <w:r w:rsidRPr="000C007B">
        <w:rPr>
          <w:rStyle w:val="apple-converted-space"/>
          <w:color w:val="252525"/>
          <w:sz w:val="20"/>
          <w:szCs w:val="20"/>
        </w:rPr>
        <w:t xml:space="preserve"> May, 2015]</w:t>
      </w:r>
      <w:r w:rsidR="00EE07ED">
        <w:rPr>
          <w:sz w:val="20"/>
          <w:szCs w:val="20"/>
        </w:rPr>
        <w:t xml:space="preserve"> </w:t>
      </w:r>
    </w:p>
    <w:p w14:paraId="31ADEF2C" w14:textId="77777777" w:rsidR="00EE07ED" w:rsidRPr="00EE07ED" w:rsidRDefault="00EE07ED" w:rsidP="00EE07ED">
      <w:pPr>
        <w:ind w:left="284" w:hanging="284"/>
        <w:rPr>
          <w:sz w:val="20"/>
          <w:szCs w:val="20"/>
        </w:rPr>
      </w:pPr>
    </w:p>
    <w:p w14:paraId="0C2F5B05" w14:textId="1D96E74D" w:rsidR="00FE24EE" w:rsidRPr="00FE24EE" w:rsidRDefault="00FE24EE" w:rsidP="00FE24EE">
      <w:pPr>
        <w:widowControl w:val="0"/>
        <w:autoSpaceDE w:val="0"/>
        <w:autoSpaceDN w:val="0"/>
        <w:adjustRightInd w:val="0"/>
        <w:spacing w:after="240"/>
        <w:jc w:val="left"/>
        <w:rPr>
          <w:rFonts w:eastAsiaTheme="minorHAnsi"/>
          <w:sz w:val="20"/>
          <w:szCs w:val="20"/>
          <w:lang w:val="en-US"/>
        </w:rPr>
      </w:pPr>
      <w:r w:rsidRPr="00FE24EE">
        <w:rPr>
          <w:rFonts w:eastAsiaTheme="minorHAnsi"/>
          <w:sz w:val="20"/>
          <w:szCs w:val="20"/>
          <w:lang w:val="en-US"/>
        </w:rPr>
        <w:t xml:space="preserve">Ewing, R.H., </w:t>
      </w:r>
      <w:proofErr w:type="spellStart"/>
      <w:r w:rsidRPr="00FE24EE">
        <w:rPr>
          <w:rFonts w:eastAsiaTheme="minorHAnsi"/>
          <w:sz w:val="20"/>
          <w:szCs w:val="20"/>
          <w:lang w:val="en-US"/>
        </w:rPr>
        <w:t>Haliyur</w:t>
      </w:r>
      <w:proofErr w:type="spellEnd"/>
      <w:r w:rsidRPr="00FE24EE">
        <w:rPr>
          <w:rFonts w:eastAsiaTheme="minorHAnsi"/>
          <w:sz w:val="20"/>
          <w:szCs w:val="20"/>
          <w:lang w:val="en-US"/>
        </w:rPr>
        <w:t xml:space="preserve">, P. </w:t>
      </w:r>
      <w:r>
        <w:rPr>
          <w:rFonts w:eastAsiaTheme="minorHAnsi"/>
          <w:sz w:val="20"/>
          <w:szCs w:val="20"/>
          <w:lang w:val="en-US"/>
        </w:rPr>
        <w:t>and</w:t>
      </w:r>
      <w:r w:rsidRPr="00FE24EE">
        <w:rPr>
          <w:rFonts w:eastAsiaTheme="minorHAnsi"/>
          <w:sz w:val="20"/>
          <w:szCs w:val="20"/>
          <w:lang w:val="en-US"/>
        </w:rPr>
        <w:t xml:space="preserve"> </w:t>
      </w:r>
      <w:r>
        <w:rPr>
          <w:rFonts w:eastAsiaTheme="minorHAnsi"/>
          <w:sz w:val="20"/>
          <w:szCs w:val="20"/>
          <w:lang w:val="en-US"/>
        </w:rPr>
        <w:t>Page, G., 1994</w:t>
      </w:r>
      <w:r w:rsidRPr="00FE24EE">
        <w:rPr>
          <w:rFonts w:eastAsiaTheme="minorHAnsi"/>
          <w:sz w:val="20"/>
          <w:szCs w:val="20"/>
          <w:lang w:val="en-US"/>
        </w:rPr>
        <w:t xml:space="preserve">. Getting around a traditional city, a suburban PUD, and everything in- between. </w:t>
      </w:r>
      <w:r w:rsidRPr="00FE24EE">
        <w:rPr>
          <w:rFonts w:eastAsiaTheme="minorHAnsi"/>
          <w:i/>
          <w:sz w:val="20"/>
          <w:szCs w:val="20"/>
          <w:lang w:val="en-US"/>
        </w:rPr>
        <w:t>Transportation Research Record: Journal of the Transportation Research Board</w:t>
      </w:r>
      <w:r w:rsidRPr="00FE24EE">
        <w:rPr>
          <w:rFonts w:eastAsiaTheme="minorHAnsi"/>
          <w:sz w:val="20"/>
          <w:szCs w:val="20"/>
          <w:lang w:val="en-US"/>
        </w:rPr>
        <w:t xml:space="preserve">, 1466, </w:t>
      </w:r>
      <w:r>
        <w:rPr>
          <w:rFonts w:eastAsiaTheme="minorHAnsi"/>
          <w:sz w:val="20"/>
          <w:szCs w:val="20"/>
          <w:lang w:val="en-US"/>
        </w:rPr>
        <w:t xml:space="preserve">pp. </w:t>
      </w:r>
      <w:r w:rsidRPr="00FE24EE">
        <w:rPr>
          <w:rFonts w:eastAsiaTheme="minorHAnsi"/>
          <w:sz w:val="20"/>
          <w:szCs w:val="20"/>
          <w:lang w:val="en-US"/>
        </w:rPr>
        <w:t>53–62.</w:t>
      </w:r>
    </w:p>
    <w:p w14:paraId="49BF074B" w14:textId="2E989535" w:rsidR="006866C5" w:rsidRPr="006866C5" w:rsidRDefault="006866C5" w:rsidP="006866C5">
      <w:pPr>
        <w:widowControl w:val="0"/>
        <w:autoSpaceDE w:val="0"/>
        <w:autoSpaceDN w:val="0"/>
        <w:adjustRightInd w:val="0"/>
        <w:spacing w:after="240"/>
        <w:jc w:val="left"/>
        <w:rPr>
          <w:rFonts w:eastAsiaTheme="minorHAnsi"/>
          <w:sz w:val="20"/>
          <w:szCs w:val="20"/>
          <w:lang w:val="en-US"/>
        </w:rPr>
      </w:pPr>
      <w:proofErr w:type="spellStart"/>
      <w:proofErr w:type="gramStart"/>
      <w:r w:rsidRPr="006866C5">
        <w:rPr>
          <w:rFonts w:eastAsiaTheme="minorHAnsi"/>
          <w:bCs/>
          <w:sz w:val="20"/>
          <w:szCs w:val="20"/>
          <w:lang w:val="en-US"/>
        </w:rPr>
        <w:t>Givoni</w:t>
      </w:r>
      <w:proofErr w:type="spellEnd"/>
      <w:r w:rsidRPr="006866C5">
        <w:rPr>
          <w:rFonts w:eastAsiaTheme="minorHAnsi"/>
          <w:bCs/>
          <w:sz w:val="20"/>
          <w:szCs w:val="20"/>
          <w:lang w:val="en-US"/>
        </w:rPr>
        <w:t xml:space="preserve">, M., &amp; </w:t>
      </w:r>
      <w:proofErr w:type="spellStart"/>
      <w:r w:rsidRPr="006866C5">
        <w:rPr>
          <w:rFonts w:eastAsiaTheme="minorHAnsi"/>
          <w:bCs/>
          <w:sz w:val="20"/>
          <w:szCs w:val="20"/>
          <w:lang w:val="en-US"/>
        </w:rPr>
        <w:t>Rietveld</w:t>
      </w:r>
      <w:proofErr w:type="spellEnd"/>
      <w:r w:rsidRPr="006866C5">
        <w:rPr>
          <w:rFonts w:eastAsiaTheme="minorHAnsi"/>
          <w:bCs/>
          <w:sz w:val="20"/>
          <w:szCs w:val="20"/>
          <w:lang w:val="en-US"/>
        </w:rPr>
        <w:t>, P. (2007).</w:t>
      </w:r>
      <w:proofErr w:type="gramEnd"/>
      <w:r w:rsidRPr="006866C5">
        <w:rPr>
          <w:rFonts w:eastAsiaTheme="minorHAnsi"/>
          <w:bCs/>
          <w:sz w:val="20"/>
          <w:szCs w:val="20"/>
          <w:lang w:val="en-US"/>
        </w:rPr>
        <w:t xml:space="preserve"> </w:t>
      </w:r>
      <w:proofErr w:type="gramStart"/>
      <w:r w:rsidRPr="006866C5">
        <w:rPr>
          <w:rFonts w:eastAsiaTheme="minorHAnsi"/>
          <w:bCs/>
          <w:sz w:val="20"/>
          <w:szCs w:val="20"/>
          <w:lang w:val="en-US"/>
        </w:rPr>
        <w:t>“The access journey to the railway station and its role in passengers’ satisfaction with rail travel”.</w:t>
      </w:r>
      <w:proofErr w:type="gramEnd"/>
      <w:r w:rsidRPr="006866C5">
        <w:rPr>
          <w:rFonts w:eastAsiaTheme="minorHAnsi"/>
          <w:sz w:val="20"/>
          <w:szCs w:val="20"/>
          <w:lang w:val="en-US"/>
        </w:rPr>
        <w:t xml:space="preserve"> </w:t>
      </w:r>
      <w:r w:rsidRPr="006866C5">
        <w:rPr>
          <w:rFonts w:eastAsiaTheme="minorHAnsi"/>
          <w:bCs/>
          <w:i/>
          <w:iCs/>
          <w:sz w:val="20"/>
          <w:szCs w:val="20"/>
          <w:lang w:val="en-US"/>
        </w:rPr>
        <w:t>Transport Policy</w:t>
      </w:r>
      <w:r w:rsidRPr="006866C5">
        <w:rPr>
          <w:rFonts w:eastAsiaTheme="minorHAnsi"/>
          <w:bCs/>
          <w:iCs/>
          <w:sz w:val="20"/>
          <w:szCs w:val="20"/>
          <w:lang w:val="en-US"/>
        </w:rPr>
        <w:t xml:space="preserve">, 14(5), </w:t>
      </w:r>
      <w:proofErr w:type="gramStart"/>
      <w:r w:rsidRPr="006866C5">
        <w:rPr>
          <w:rFonts w:eastAsiaTheme="minorHAnsi"/>
          <w:bCs/>
          <w:sz w:val="20"/>
          <w:szCs w:val="20"/>
          <w:lang w:val="en-US"/>
        </w:rPr>
        <w:t>357</w:t>
      </w:r>
      <w:proofErr w:type="gramEnd"/>
      <w:r w:rsidRPr="006866C5">
        <w:rPr>
          <w:rFonts w:eastAsiaTheme="minorHAnsi"/>
          <w:bCs/>
          <w:sz w:val="20"/>
          <w:szCs w:val="20"/>
          <w:lang w:val="en-US"/>
        </w:rPr>
        <w:t>-365.</w:t>
      </w:r>
    </w:p>
    <w:p w14:paraId="59B61449" w14:textId="77777777" w:rsidR="00F5567F" w:rsidRDefault="00F5567F" w:rsidP="00DD37CC">
      <w:pPr>
        <w:widowControl w:val="0"/>
        <w:autoSpaceDE w:val="0"/>
        <w:autoSpaceDN w:val="0"/>
        <w:adjustRightInd w:val="0"/>
        <w:spacing w:after="240"/>
        <w:jc w:val="left"/>
        <w:rPr>
          <w:rFonts w:eastAsiaTheme="minorHAnsi"/>
          <w:bCs/>
          <w:sz w:val="20"/>
          <w:szCs w:val="20"/>
          <w:lang w:val="en-US"/>
        </w:rPr>
      </w:pPr>
      <w:proofErr w:type="spellStart"/>
      <w:r w:rsidRPr="00F5567F">
        <w:rPr>
          <w:rFonts w:eastAsiaTheme="minorHAnsi"/>
          <w:sz w:val="20"/>
          <w:szCs w:val="20"/>
          <w:lang w:val="en-US"/>
        </w:rPr>
        <w:t>Iseki</w:t>
      </w:r>
      <w:proofErr w:type="gramStart"/>
      <w:r w:rsidRPr="00F5567F">
        <w:rPr>
          <w:rFonts w:eastAsiaTheme="minorHAnsi"/>
          <w:sz w:val="20"/>
          <w:szCs w:val="20"/>
          <w:lang w:val="en-US"/>
        </w:rPr>
        <w:t>,H</w:t>
      </w:r>
      <w:proofErr w:type="spellEnd"/>
      <w:proofErr w:type="gramEnd"/>
      <w:r w:rsidRPr="00F5567F">
        <w:rPr>
          <w:rFonts w:eastAsiaTheme="minorHAnsi"/>
          <w:sz w:val="20"/>
          <w:szCs w:val="20"/>
          <w:lang w:val="en-US"/>
        </w:rPr>
        <w:t xml:space="preserve">. </w:t>
      </w:r>
      <w:proofErr w:type="spellStart"/>
      <w:r w:rsidRPr="00F5567F">
        <w:rPr>
          <w:rFonts w:eastAsiaTheme="minorHAnsi"/>
          <w:sz w:val="20"/>
          <w:szCs w:val="20"/>
          <w:lang w:val="en-US"/>
        </w:rPr>
        <w:t>Taylor,B.D</w:t>
      </w:r>
      <w:proofErr w:type="spellEnd"/>
      <w:r w:rsidRPr="00F5567F">
        <w:rPr>
          <w:rFonts w:eastAsiaTheme="minorHAnsi"/>
          <w:sz w:val="20"/>
          <w:szCs w:val="20"/>
          <w:lang w:val="en-US"/>
        </w:rPr>
        <w:t xml:space="preserve">. </w:t>
      </w:r>
      <w:proofErr w:type="spellStart"/>
      <w:r w:rsidRPr="00F5567F">
        <w:rPr>
          <w:rFonts w:eastAsiaTheme="minorHAnsi"/>
          <w:sz w:val="20"/>
          <w:szCs w:val="20"/>
          <w:lang w:val="en-US"/>
        </w:rPr>
        <w:t>Miller,M</w:t>
      </w:r>
      <w:proofErr w:type="spellEnd"/>
      <w:r w:rsidRPr="00F5567F">
        <w:rPr>
          <w:rFonts w:eastAsiaTheme="minorHAnsi"/>
          <w:sz w:val="20"/>
          <w:szCs w:val="20"/>
          <w:lang w:val="en-US"/>
        </w:rPr>
        <w:t>. (2006). “</w:t>
      </w:r>
      <w:r w:rsidRPr="00F5567F">
        <w:rPr>
          <w:rFonts w:eastAsiaTheme="minorHAnsi"/>
          <w:bCs/>
          <w:sz w:val="20"/>
          <w:szCs w:val="20"/>
          <w:lang w:val="en-US"/>
        </w:rPr>
        <w:t xml:space="preserve">The Effects of Out-of-Vehicle Time on Travel Behavior: Implications for Transit Transfers”. </w:t>
      </w:r>
      <w:proofErr w:type="gramStart"/>
      <w:r w:rsidRPr="00F5567F">
        <w:rPr>
          <w:rFonts w:eastAsiaTheme="minorHAnsi"/>
          <w:bCs/>
          <w:sz w:val="20"/>
          <w:szCs w:val="20"/>
          <w:lang w:val="en-US"/>
        </w:rPr>
        <w:t>California PATH Program, University of California, Berkeley.</w:t>
      </w:r>
      <w:proofErr w:type="gramEnd"/>
    </w:p>
    <w:p w14:paraId="1C79B848" w14:textId="49CB68D6" w:rsidR="00126C91" w:rsidRDefault="00126C91" w:rsidP="00DD37CC">
      <w:pPr>
        <w:widowControl w:val="0"/>
        <w:autoSpaceDE w:val="0"/>
        <w:autoSpaceDN w:val="0"/>
        <w:adjustRightInd w:val="0"/>
        <w:spacing w:after="240"/>
        <w:jc w:val="left"/>
        <w:rPr>
          <w:rFonts w:eastAsiaTheme="minorHAnsi"/>
          <w:sz w:val="20"/>
          <w:szCs w:val="20"/>
          <w:lang w:val="en-US"/>
        </w:rPr>
      </w:pPr>
      <w:r w:rsidRPr="00126C91">
        <w:rPr>
          <w:rFonts w:eastAsiaTheme="minorHAnsi"/>
          <w:bCs/>
          <w:sz w:val="20"/>
          <w:szCs w:val="20"/>
          <w:lang w:val="en-US"/>
        </w:rPr>
        <w:t xml:space="preserve">IUTI, </w:t>
      </w:r>
      <w:proofErr w:type="spellStart"/>
      <w:r w:rsidRPr="00126C91">
        <w:rPr>
          <w:rFonts w:eastAsiaTheme="minorHAnsi"/>
          <w:bCs/>
          <w:sz w:val="20"/>
          <w:szCs w:val="20"/>
          <w:lang w:val="en-US"/>
        </w:rPr>
        <w:t>MoUD</w:t>
      </w:r>
      <w:proofErr w:type="spellEnd"/>
      <w:r w:rsidRPr="00126C91">
        <w:rPr>
          <w:rFonts w:eastAsiaTheme="minorHAnsi"/>
          <w:bCs/>
          <w:sz w:val="20"/>
          <w:szCs w:val="20"/>
          <w:lang w:val="en-US"/>
        </w:rPr>
        <w:t xml:space="preserve">, </w:t>
      </w:r>
      <w:proofErr w:type="spellStart"/>
      <w:r w:rsidRPr="00126C91">
        <w:rPr>
          <w:rFonts w:eastAsiaTheme="minorHAnsi"/>
          <w:bCs/>
          <w:sz w:val="20"/>
          <w:szCs w:val="20"/>
          <w:lang w:val="en-US"/>
        </w:rPr>
        <w:t>GoI</w:t>
      </w:r>
      <w:proofErr w:type="spellEnd"/>
      <w:r w:rsidRPr="00126C91">
        <w:rPr>
          <w:rFonts w:eastAsiaTheme="minorHAnsi"/>
          <w:bCs/>
          <w:sz w:val="20"/>
          <w:szCs w:val="20"/>
          <w:lang w:val="en-US"/>
        </w:rPr>
        <w:t xml:space="preserve"> (2014) </w:t>
      </w:r>
      <w:r w:rsidRPr="00126C91">
        <w:rPr>
          <w:rFonts w:eastAsiaTheme="minorHAnsi"/>
          <w:sz w:val="20"/>
          <w:szCs w:val="20"/>
          <w:lang w:val="en-US"/>
        </w:rPr>
        <w:t>National Urban Transport Policy (NUTP)</w:t>
      </w:r>
      <w:r>
        <w:rPr>
          <w:rFonts w:eastAsiaTheme="minorHAnsi"/>
          <w:sz w:val="20"/>
          <w:szCs w:val="20"/>
          <w:lang w:val="en-US"/>
        </w:rPr>
        <w:t>.</w:t>
      </w:r>
      <w:r w:rsidRPr="00126C91">
        <w:rPr>
          <w:rFonts w:eastAsiaTheme="minorHAnsi"/>
          <w:sz w:val="20"/>
          <w:szCs w:val="20"/>
          <w:lang w:val="en-US"/>
        </w:rPr>
        <w:t xml:space="preserve"> </w:t>
      </w:r>
      <w:r>
        <w:rPr>
          <w:rFonts w:eastAsiaTheme="minorHAnsi"/>
          <w:sz w:val="20"/>
          <w:szCs w:val="20"/>
          <w:lang w:val="en-US"/>
        </w:rPr>
        <w:t>A</w:t>
      </w:r>
      <w:r w:rsidRPr="00126C91">
        <w:rPr>
          <w:rFonts w:eastAsiaTheme="minorHAnsi"/>
          <w:sz w:val="20"/>
          <w:szCs w:val="20"/>
          <w:lang w:val="en-US"/>
        </w:rPr>
        <w:t xml:space="preserve">vailable </w:t>
      </w:r>
      <w:r>
        <w:rPr>
          <w:rFonts w:eastAsiaTheme="minorHAnsi"/>
          <w:sz w:val="20"/>
          <w:szCs w:val="20"/>
          <w:lang w:val="en-US"/>
        </w:rPr>
        <w:t xml:space="preserve">from: </w:t>
      </w:r>
      <w:hyperlink r:id="rId13" w:history="1">
        <w:r w:rsidRPr="00650975">
          <w:rPr>
            <w:rStyle w:val="Hyperlink"/>
            <w:rFonts w:eastAsiaTheme="minorHAnsi"/>
            <w:sz w:val="20"/>
            <w:szCs w:val="20"/>
            <w:lang w:val="en-US"/>
          </w:rPr>
          <w:t>www.itdp.in/wp-content/uploads/</w:t>
        </w:r>
        <w:r w:rsidRPr="00650975">
          <w:rPr>
            <w:rStyle w:val="Hyperlink"/>
            <w:rFonts w:eastAsiaTheme="minorHAnsi"/>
            <w:bCs/>
            <w:sz w:val="20"/>
            <w:szCs w:val="20"/>
            <w:lang w:val="en-US"/>
          </w:rPr>
          <w:t>2014</w:t>
        </w:r>
        <w:r w:rsidRPr="00650975">
          <w:rPr>
            <w:rStyle w:val="Hyperlink"/>
            <w:rFonts w:eastAsiaTheme="minorHAnsi"/>
            <w:sz w:val="20"/>
            <w:szCs w:val="20"/>
            <w:lang w:val="en-US"/>
          </w:rPr>
          <w:t>/11/NUTP-</w:t>
        </w:r>
        <w:r w:rsidRPr="00650975">
          <w:rPr>
            <w:rStyle w:val="Hyperlink"/>
            <w:rFonts w:eastAsiaTheme="minorHAnsi"/>
            <w:bCs/>
            <w:sz w:val="20"/>
            <w:szCs w:val="20"/>
            <w:lang w:val="en-US"/>
          </w:rPr>
          <w:t>2014</w:t>
        </w:r>
        <w:r w:rsidRPr="00650975">
          <w:rPr>
            <w:rStyle w:val="Hyperlink"/>
            <w:rFonts w:eastAsiaTheme="minorHAnsi"/>
            <w:sz w:val="20"/>
            <w:szCs w:val="20"/>
            <w:lang w:val="en-US"/>
          </w:rPr>
          <w:t>.pdf</w:t>
        </w:r>
      </w:hyperlink>
      <w:r>
        <w:rPr>
          <w:rFonts w:eastAsiaTheme="minorHAnsi"/>
          <w:sz w:val="20"/>
          <w:szCs w:val="20"/>
          <w:lang w:val="en-US"/>
        </w:rPr>
        <w:t xml:space="preserve">  </w:t>
      </w:r>
      <w:r w:rsidRPr="00126C91">
        <w:rPr>
          <w:rFonts w:eastAsiaTheme="minorHAnsi"/>
          <w:sz w:val="20"/>
          <w:szCs w:val="20"/>
          <w:lang w:val="en-US"/>
        </w:rPr>
        <w:t xml:space="preserve"> [accessed 5</w:t>
      </w:r>
      <w:r w:rsidRPr="00126C91">
        <w:rPr>
          <w:rFonts w:eastAsiaTheme="minorHAnsi"/>
          <w:sz w:val="20"/>
          <w:szCs w:val="20"/>
          <w:vertAlign w:val="superscript"/>
          <w:lang w:val="en-US"/>
        </w:rPr>
        <w:t>th</w:t>
      </w:r>
      <w:r w:rsidRPr="00126C91">
        <w:rPr>
          <w:rFonts w:eastAsiaTheme="minorHAnsi"/>
          <w:sz w:val="20"/>
          <w:szCs w:val="20"/>
          <w:lang w:val="en-US"/>
        </w:rPr>
        <w:t xml:space="preserve"> May 2015].</w:t>
      </w:r>
    </w:p>
    <w:p w14:paraId="338E92C2" w14:textId="049F56AF" w:rsidR="00DD37CC" w:rsidRPr="00DD37CC" w:rsidRDefault="00DD37CC" w:rsidP="00DD37CC">
      <w:pPr>
        <w:widowControl w:val="0"/>
        <w:autoSpaceDE w:val="0"/>
        <w:autoSpaceDN w:val="0"/>
        <w:adjustRightInd w:val="0"/>
        <w:spacing w:after="240"/>
        <w:jc w:val="left"/>
        <w:rPr>
          <w:rFonts w:eastAsiaTheme="minorHAnsi"/>
          <w:sz w:val="20"/>
          <w:szCs w:val="20"/>
          <w:lang w:val="en-US"/>
        </w:rPr>
      </w:pPr>
      <w:r w:rsidRPr="00DD37CC">
        <w:rPr>
          <w:rFonts w:eastAsiaTheme="minorHAnsi"/>
          <w:sz w:val="20"/>
          <w:szCs w:val="20"/>
          <w:lang w:val="en-US"/>
        </w:rPr>
        <w:t xml:space="preserve">Jiang, Y., </w:t>
      </w:r>
      <w:proofErr w:type="spellStart"/>
      <w:r w:rsidRPr="00DD37CC">
        <w:rPr>
          <w:rFonts w:eastAsiaTheme="minorHAnsi"/>
          <w:sz w:val="20"/>
          <w:szCs w:val="20"/>
          <w:lang w:val="en-US"/>
        </w:rPr>
        <w:t>Zegras</w:t>
      </w:r>
      <w:proofErr w:type="spellEnd"/>
      <w:r w:rsidRPr="00DD37CC">
        <w:rPr>
          <w:rFonts w:eastAsiaTheme="minorHAnsi"/>
          <w:sz w:val="20"/>
          <w:szCs w:val="20"/>
          <w:lang w:val="en-US"/>
        </w:rPr>
        <w:t xml:space="preserve">, </w:t>
      </w:r>
      <w:r w:rsidRPr="00DD37CC">
        <w:rPr>
          <w:rFonts w:eastAsiaTheme="minorHAnsi"/>
          <w:bCs/>
          <w:sz w:val="20"/>
          <w:szCs w:val="20"/>
          <w:lang w:val="en-US"/>
        </w:rPr>
        <w:t xml:space="preserve">C., </w:t>
      </w:r>
      <w:r>
        <w:rPr>
          <w:rFonts w:eastAsiaTheme="minorHAnsi"/>
          <w:bCs/>
          <w:sz w:val="20"/>
          <w:szCs w:val="20"/>
          <w:lang w:val="en-US"/>
        </w:rPr>
        <w:t>and</w:t>
      </w:r>
      <w:r w:rsidRPr="00DD37CC">
        <w:rPr>
          <w:rFonts w:eastAsiaTheme="minorHAnsi"/>
          <w:bCs/>
          <w:sz w:val="20"/>
          <w:szCs w:val="20"/>
          <w:lang w:val="en-US"/>
        </w:rPr>
        <w:t xml:space="preserve"> </w:t>
      </w:r>
      <w:proofErr w:type="spellStart"/>
      <w:r w:rsidRPr="00DD37CC">
        <w:rPr>
          <w:rFonts w:eastAsiaTheme="minorHAnsi"/>
          <w:sz w:val="20"/>
          <w:szCs w:val="20"/>
          <w:lang w:val="en-US"/>
        </w:rPr>
        <w:t>Mehndiratta</w:t>
      </w:r>
      <w:proofErr w:type="spellEnd"/>
      <w:r w:rsidRPr="00DD37CC">
        <w:rPr>
          <w:rFonts w:eastAsiaTheme="minorHAnsi"/>
          <w:sz w:val="20"/>
          <w:szCs w:val="20"/>
          <w:lang w:val="en-US"/>
        </w:rPr>
        <w:t xml:space="preserve">, </w:t>
      </w:r>
      <w:r w:rsidRPr="00DD37CC">
        <w:rPr>
          <w:rFonts w:eastAsiaTheme="minorHAnsi"/>
          <w:bCs/>
          <w:sz w:val="20"/>
          <w:szCs w:val="20"/>
          <w:lang w:val="en-US"/>
        </w:rPr>
        <w:t>S.</w:t>
      </w:r>
      <w:r>
        <w:rPr>
          <w:rFonts w:eastAsiaTheme="minorHAnsi"/>
          <w:bCs/>
          <w:sz w:val="20"/>
          <w:szCs w:val="20"/>
          <w:lang w:val="en-US"/>
        </w:rPr>
        <w:t>,</w:t>
      </w:r>
      <w:r w:rsidRPr="00DD37CC">
        <w:rPr>
          <w:rFonts w:eastAsiaTheme="minorHAnsi"/>
          <w:bCs/>
          <w:sz w:val="20"/>
          <w:szCs w:val="20"/>
          <w:lang w:val="en-US"/>
        </w:rPr>
        <w:t xml:space="preserve"> </w:t>
      </w:r>
      <w:r>
        <w:rPr>
          <w:rFonts w:eastAsiaTheme="minorHAnsi"/>
          <w:bCs/>
          <w:sz w:val="20"/>
          <w:szCs w:val="20"/>
          <w:lang w:val="en-US"/>
        </w:rPr>
        <w:t>2011</w:t>
      </w:r>
      <w:r w:rsidRPr="00DD37CC">
        <w:rPr>
          <w:rFonts w:eastAsiaTheme="minorHAnsi"/>
          <w:bCs/>
          <w:sz w:val="20"/>
          <w:szCs w:val="20"/>
          <w:lang w:val="en-US"/>
        </w:rPr>
        <w:t>.</w:t>
      </w:r>
      <w:r w:rsidRPr="00DD37CC">
        <w:rPr>
          <w:rFonts w:eastAsiaTheme="minorHAnsi"/>
          <w:b/>
          <w:bCs/>
          <w:sz w:val="20"/>
          <w:szCs w:val="20"/>
          <w:lang w:val="en-US"/>
        </w:rPr>
        <w:t xml:space="preserve"> </w:t>
      </w:r>
      <w:r w:rsidRPr="00DD37CC">
        <w:rPr>
          <w:rFonts w:eastAsiaTheme="minorHAnsi"/>
          <w:sz w:val="20"/>
          <w:szCs w:val="20"/>
          <w:lang w:val="en-US"/>
        </w:rPr>
        <w:t>Walk the Line: Station Context, Corridor Type and Bus</w:t>
      </w:r>
      <w:r>
        <w:rPr>
          <w:rFonts w:eastAsiaTheme="minorHAnsi"/>
          <w:sz w:val="20"/>
          <w:szCs w:val="20"/>
          <w:lang w:val="en-US"/>
        </w:rPr>
        <w:t xml:space="preserve"> </w:t>
      </w:r>
      <w:r w:rsidRPr="00DD37CC">
        <w:rPr>
          <w:rFonts w:eastAsiaTheme="minorHAnsi"/>
          <w:sz w:val="20"/>
          <w:szCs w:val="20"/>
          <w:lang w:val="en-US"/>
        </w:rPr>
        <w:t>Rapid Transit Walk Access in Jinan, China.</w:t>
      </w:r>
    </w:p>
    <w:p w14:paraId="0E3ABE72" w14:textId="77777777" w:rsidR="00F37561" w:rsidRDefault="00F37561" w:rsidP="00F37561">
      <w:pPr>
        <w:widowControl w:val="0"/>
        <w:jc w:val="left"/>
        <w:rPr>
          <w:bCs/>
          <w:sz w:val="20"/>
          <w:szCs w:val="20"/>
          <w:lang w:val="en-US"/>
        </w:rPr>
      </w:pPr>
      <w:proofErr w:type="spellStart"/>
      <w:r w:rsidRPr="00C72F82">
        <w:rPr>
          <w:bCs/>
          <w:sz w:val="20"/>
          <w:szCs w:val="20"/>
          <w:lang w:val="en-US"/>
        </w:rPr>
        <w:t>Loutzenheiser</w:t>
      </w:r>
      <w:proofErr w:type="spellEnd"/>
      <w:r w:rsidRPr="00C72F82">
        <w:rPr>
          <w:bCs/>
          <w:sz w:val="20"/>
          <w:szCs w:val="20"/>
          <w:lang w:val="en-US"/>
        </w:rPr>
        <w:t xml:space="preserve">, D.R., 1997. Pedestrian access to transit: model of walk trips and their design and urban form determinants around bay area rapid transit stations. </w:t>
      </w:r>
      <w:proofErr w:type="gramStart"/>
      <w:r w:rsidRPr="00C72F82">
        <w:rPr>
          <w:bCs/>
          <w:i/>
          <w:sz w:val="20"/>
          <w:szCs w:val="20"/>
          <w:lang w:val="en-US"/>
        </w:rPr>
        <w:t>Transportation Research Record</w:t>
      </w:r>
      <w:r>
        <w:rPr>
          <w:bCs/>
          <w:sz w:val="20"/>
          <w:szCs w:val="20"/>
          <w:lang w:val="en-US"/>
        </w:rPr>
        <w:t>.</w:t>
      </w:r>
      <w:proofErr w:type="gramEnd"/>
      <w:r>
        <w:rPr>
          <w:bCs/>
          <w:sz w:val="20"/>
          <w:szCs w:val="20"/>
          <w:lang w:val="en-US"/>
        </w:rPr>
        <w:t xml:space="preserve"> </w:t>
      </w:r>
      <w:r w:rsidRPr="00C72F82">
        <w:rPr>
          <w:bCs/>
          <w:sz w:val="20"/>
          <w:szCs w:val="20"/>
          <w:lang w:val="en-US"/>
        </w:rPr>
        <w:t>1604.</w:t>
      </w:r>
    </w:p>
    <w:p w14:paraId="3F486AF5" w14:textId="77777777" w:rsidR="00F37561" w:rsidRDefault="00F37561" w:rsidP="00F37561">
      <w:pPr>
        <w:widowControl w:val="0"/>
        <w:jc w:val="left"/>
        <w:rPr>
          <w:bCs/>
          <w:sz w:val="20"/>
          <w:szCs w:val="20"/>
          <w:lang w:val="en-US"/>
        </w:rPr>
      </w:pPr>
    </w:p>
    <w:p w14:paraId="7B89F722" w14:textId="04E48D4A" w:rsidR="00622482" w:rsidRPr="00D66CCA" w:rsidRDefault="00C472D7" w:rsidP="00D66CCA">
      <w:pPr>
        <w:widowControl w:val="0"/>
        <w:autoSpaceDE w:val="0"/>
        <w:autoSpaceDN w:val="0"/>
        <w:adjustRightInd w:val="0"/>
        <w:spacing w:after="240"/>
        <w:jc w:val="left"/>
        <w:rPr>
          <w:rFonts w:eastAsiaTheme="minorHAnsi"/>
          <w:sz w:val="20"/>
          <w:szCs w:val="20"/>
          <w:lang w:val="en-US"/>
        </w:rPr>
      </w:pPr>
      <w:r>
        <w:rPr>
          <w:rFonts w:eastAsiaTheme="minorHAnsi"/>
          <w:sz w:val="20"/>
          <w:szCs w:val="20"/>
          <w:lang w:val="en-US"/>
        </w:rPr>
        <w:t>Marshall, N.</w:t>
      </w:r>
      <w:r w:rsidR="00D66CCA" w:rsidRPr="00D66CCA">
        <w:rPr>
          <w:rFonts w:eastAsiaTheme="minorHAnsi"/>
          <w:sz w:val="20"/>
          <w:szCs w:val="20"/>
          <w:lang w:val="en-US"/>
        </w:rPr>
        <w:t xml:space="preserve"> and Grady</w:t>
      </w:r>
      <w:r>
        <w:rPr>
          <w:rFonts w:eastAsiaTheme="minorHAnsi"/>
          <w:sz w:val="20"/>
          <w:szCs w:val="20"/>
          <w:lang w:val="en-US"/>
        </w:rPr>
        <w:t>,</w:t>
      </w:r>
      <w:r w:rsidRPr="00C472D7">
        <w:rPr>
          <w:rFonts w:eastAsiaTheme="minorHAnsi"/>
          <w:sz w:val="20"/>
          <w:szCs w:val="20"/>
          <w:lang w:val="en-US"/>
        </w:rPr>
        <w:t xml:space="preserve"> </w:t>
      </w:r>
      <w:r w:rsidRPr="00D66CCA">
        <w:rPr>
          <w:rFonts w:eastAsiaTheme="minorHAnsi"/>
          <w:sz w:val="20"/>
          <w:szCs w:val="20"/>
          <w:lang w:val="en-US"/>
        </w:rPr>
        <w:t>B</w:t>
      </w:r>
      <w:r>
        <w:rPr>
          <w:rFonts w:eastAsiaTheme="minorHAnsi"/>
          <w:sz w:val="20"/>
          <w:szCs w:val="20"/>
          <w:lang w:val="en-US"/>
        </w:rPr>
        <w:t>.,</w:t>
      </w:r>
      <w:r w:rsidR="00D66CCA" w:rsidRPr="00D66CCA">
        <w:rPr>
          <w:rFonts w:eastAsiaTheme="minorHAnsi"/>
          <w:sz w:val="20"/>
          <w:szCs w:val="20"/>
          <w:lang w:val="en-US"/>
        </w:rPr>
        <w:t xml:space="preserve"> 2005. </w:t>
      </w:r>
      <w:r w:rsidR="00D66CCA" w:rsidRPr="005623BF">
        <w:rPr>
          <w:rFonts w:eastAsiaTheme="minorHAnsi"/>
          <w:iCs/>
          <w:sz w:val="20"/>
          <w:szCs w:val="20"/>
          <w:lang w:val="en-US"/>
        </w:rPr>
        <w:t>Travel demand modeling for regional visioning and scenario analysis</w:t>
      </w:r>
      <w:r w:rsidR="00D66CCA" w:rsidRPr="00D66CCA">
        <w:rPr>
          <w:rFonts w:eastAsiaTheme="minorHAnsi"/>
          <w:i/>
          <w:iCs/>
          <w:sz w:val="20"/>
          <w:szCs w:val="20"/>
          <w:lang w:val="en-US"/>
        </w:rPr>
        <w:t xml:space="preserve">. Transportation Research Record </w:t>
      </w:r>
      <w:r w:rsidR="00D66CCA" w:rsidRPr="00D66CCA">
        <w:rPr>
          <w:rFonts w:eastAsiaTheme="minorHAnsi"/>
          <w:sz w:val="20"/>
          <w:szCs w:val="20"/>
          <w:lang w:val="en-US"/>
        </w:rPr>
        <w:t xml:space="preserve">1921: </w:t>
      </w:r>
      <w:r w:rsidR="002B04F0">
        <w:rPr>
          <w:rFonts w:eastAsiaTheme="minorHAnsi"/>
          <w:sz w:val="20"/>
          <w:szCs w:val="20"/>
          <w:lang w:val="en-US"/>
        </w:rPr>
        <w:t xml:space="preserve">pp. </w:t>
      </w:r>
      <w:r w:rsidR="00D66CCA" w:rsidRPr="00D66CCA">
        <w:rPr>
          <w:rFonts w:eastAsiaTheme="minorHAnsi"/>
          <w:sz w:val="20"/>
          <w:szCs w:val="20"/>
          <w:lang w:val="en-US"/>
        </w:rPr>
        <w:t>44-52.</w:t>
      </w:r>
    </w:p>
    <w:p w14:paraId="6DA2D0D7" w14:textId="33483F1A" w:rsidR="00283224" w:rsidRDefault="00283224" w:rsidP="00283224">
      <w:pPr>
        <w:widowControl w:val="0"/>
        <w:jc w:val="left"/>
        <w:rPr>
          <w:sz w:val="20"/>
          <w:szCs w:val="20"/>
          <w:lang w:val="en-US"/>
        </w:rPr>
      </w:pPr>
      <w:r w:rsidRPr="00320B20">
        <w:rPr>
          <w:sz w:val="20"/>
          <w:szCs w:val="20"/>
          <w:lang w:val="en-US"/>
        </w:rPr>
        <w:t>Mirabilis Advisory</w:t>
      </w:r>
      <w:r w:rsidR="00C472D7">
        <w:rPr>
          <w:sz w:val="20"/>
          <w:szCs w:val="20"/>
          <w:lang w:val="en-US"/>
        </w:rPr>
        <w:t>,</w:t>
      </w:r>
      <w:r w:rsidRPr="00320B20">
        <w:rPr>
          <w:sz w:val="20"/>
          <w:szCs w:val="20"/>
          <w:lang w:val="en-US"/>
        </w:rPr>
        <w:t xml:space="preserve"> </w:t>
      </w:r>
      <w:proofErr w:type="spellStart"/>
      <w:r>
        <w:rPr>
          <w:sz w:val="20"/>
          <w:szCs w:val="20"/>
          <w:lang w:val="en-US"/>
        </w:rPr>
        <w:t>n.d.</w:t>
      </w:r>
      <w:proofErr w:type="spellEnd"/>
      <w:r>
        <w:rPr>
          <w:sz w:val="20"/>
          <w:szCs w:val="20"/>
          <w:lang w:val="en-US"/>
        </w:rPr>
        <w:t xml:space="preserve"> </w:t>
      </w:r>
      <w:r w:rsidRPr="00320B20">
        <w:rPr>
          <w:sz w:val="20"/>
          <w:szCs w:val="20"/>
          <w:lang w:val="en-US"/>
        </w:rPr>
        <w:t xml:space="preserve">The Alternative Urban Futures Report </w:t>
      </w:r>
      <w:proofErr w:type="spellStart"/>
      <w:r w:rsidRPr="00320B20">
        <w:rPr>
          <w:sz w:val="20"/>
          <w:szCs w:val="20"/>
          <w:lang w:val="en-US"/>
        </w:rPr>
        <w:t>Urbanisation</w:t>
      </w:r>
      <w:proofErr w:type="spellEnd"/>
      <w:r w:rsidRPr="00320B20">
        <w:rPr>
          <w:sz w:val="20"/>
          <w:szCs w:val="20"/>
          <w:lang w:val="en-US"/>
        </w:rPr>
        <w:t xml:space="preserve"> &amp; Sustainability In India: An Interdependent Agenda</w:t>
      </w:r>
      <w:r>
        <w:rPr>
          <w:sz w:val="20"/>
          <w:szCs w:val="20"/>
          <w:lang w:val="en-US"/>
        </w:rPr>
        <w:t>. WWF.</w:t>
      </w:r>
      <w:r w:rsidRPr="00320B20">
        <w:rPr>
          <w:sz w:val="20"/>
          <w:szCs w:val="20"/>
          <w:lang w:val="en-US"/>
        </w:rPr>
        <w:t xml:space="preserve"> Thomson Press</w:t>
      </w:r>
    </w:p>
    <w:p w14:paraId="1A32C949" w14:textId="77777777" w:rsidR="00283224" w:rsidRPr="00320B20" w:rsidRDefault="00283224" w:rsidP="00283224">
      <w:pPr>
        <w:widowControl w:val="0"/>
        <w:jc w:val="left"/>
        <w:rPr>
          <w:sz w:val="20"/>
          <w:szCs w:val="20"/>
          <w:lang w:val="en-US"/>
        </w:rPr>
      </w:pPr>
    </w:p>
    <w:p w14:paraId="1B1AD3AD" w14:textId="75A9A55A" w:rsidR="00283224" w:rsidRDefault="00283224" w:rsidP="00D66CCA">
      <w:pPr>
        <w:shd w:val="clear" w:color="auto" w:fill="FFFFFF"/>
        <w:spacing w:line="242" w:lineRule="atLeast"/>
        <w:jc w:val="left"/>
        <w:rPr>
          <w:color w:val="222222"/>
          <w:sz w:val="20"/>
          <w:szCs w:val="20"/>
          <w:lang w:val="en-US"/>
        </w:rPr>
      </w:pPr>
      <w:r w:rsidRPr="00283224">
        <w:rPr>
          <w:color w:val="222222"/>
          <w:sz w:val="20"/>
          <w:szCs w:val="20"/>
          <w:lang w:val="en-US"/>
        </w:rPr>
        <w:t>Montgomery, B. and Roberts, P.</w:t>
      </w:r>
      <w:r w:rsidR="00C472D7">
        <w:rPr>
          <w:color w:val="222222"/>
          <w:sz w:val="20"/>
          <w:szCs w:val="20"/>
          <w:lang w:val="en-US"/>
        </w:rPr>
        <w:t>,</w:t>
      </w:r>
      <w:r w:rsidRPr="00283224">
        <w:rPr>
          <w:color w:val="222222"/>
          <w:sz w:val="20"/>
          <w:szCs w:val="20"/>
          <w:lang w:val="en-US"/>
        </w:rPr>
        <w:t xml:space="preserve"> 2008</w:t>
      </w:r>
      <w:r>
        <w:rPr>
          <w:color w:val="222222"/>
          <w:sz w:val="20"/>
          <w:szCs w:val="20"/>
          <w:lang w:val="en-US"/>
        </w:rPr>
        <w:t>.</w:t>
      </w:r>
      <w:r w:rsidRPr="00283224">
        <w:rPr>
          <w:color w:val="222222"/>
          <w:sz w:val="20"/>
          <w:szCs w:val="20"/>
          <w:lang w:val="en-US"/>
        </w:rPr>
        <w:t xml:space="preserve"> </w:t>
      </w:r>
      <w:r w:rsidRPr="005632FD">
        <w:rPr>
          <w:color w:val="222222"/>
          <w:sz w:val="20"/>
          <w:szCs w:val="20"/>
          <w:lang w:val="en-US"/>
        </w:rPr>
        <w:t>Walk Urban Demand, Constraints and Measurement of the Urban Pedestrian Environment</w:t>
      </w:r>
      <w:r w:rsidRPr="00283224">
        <w:rPr>
          <w:i/>
          <w:color w:val="222222"/>
          <w:sz w:val="20"/>
          <w:szCs w:val="20"/>
          <w:lang w:val="en-US"/>
        </w:rPr>
        <w:t>,</w:t>
      </w:r>
      <w:r w:rsidRPr="00283224">
        <w:rPr>
          <w:color w:val="222222"/>
          <w:sz w:val="20"/>
          <w:szCs w:val="20"/>
          <w:lang w:val="en-US"/>
        </w:rPr>
        <w:t xml:space="preserve"> World Bank, Washington D.C. [online] Available from: </w:t>
      </w:r>
      <w:hyperlink r:id="rId14" w:history="1">
        <w:r w:rsidRPr="00283224">
          <w:rPr>
            <w:rStyle w:val="Hyperlink"/>
            <w:sz w:val="20"/>
            <w:szCs w:val="20"/>
            <w:lang w:val="en-US"/>
          </w:rPr>
          <w:t>http://siteresources.worldbank.org/INTTRANSPORT/Resources/tp-18-walk-urban.pdf</w:t>
        </w:r>
      </w:hyperlink>
      <w:r w:rsidRPr="00283224">
        <w:rPr>
          <w:color w:val="222222"/>
          <w:sz w:val="20"/>
          <w:szCs w:val="20"/>
          <w:lang w:val="en-US"/>
        </w:rPr>
        <w:t xml:space="preserve"> [Accessed 20</w:t>
      </w:r>
      <w:r w:rsidRPr="00283224">
        <w:rPr>
          <w:color w:val="222222"/>
          <w:sz w:val="20"/>
          <w:szCs w:val="20"/>
          <w:vertAlign w:val="superscript"/>
          <w:lang w:val="en-US"/>
        </w:rPr>
        <w:t>th</w:t>
      </w:r>
      <w:r w:rsidRPr="00283224">
        <w:rPr>
          <w:color w:val="222222"/>
          <w:sz w:val="20"/>
          <w:szCs w:val="20"/>
          <w:lang w:val="en-US"/>
        </w:rPr>
        <w:t xml:space="preserve"> March 2012]</w:t>
      </w:r>
    </w:p>
    <w:p w14:paraId="714369CF" w14:textId="77777777" w:rsidR="00283224" w:rsidRDefault="00283224" w:rsidP="00D66CCA">
      <w:pPr>
        <w:shd w:val="clear" w:color="auto" w:fill="FFFFFF"/>
        <w:spacing w:line="242" w:lineRule="atLeast"/>
        <w:jc w:val="left"/>
        <w:rPr>
          <w:color w:val="222222"/>
          <w:sz w:val="20"/>
          <w:szCs w:val="20"/>
        </w:rPr>
      </w:pPr>
    </w:p>
    <w:p w14:paraId="67589407" w14:textId="7958F066" w:rsidR="00D66CCA" w:rsidRPr="00B20048" w:rsidRDefault="00D66CCA" w:rsidP="00D66CCA">
      <w:pPr>
        <w:shd w:val="clear" w:color="auto" w:fill="FFFFFF"/>
        <w:spacing w:line="242" w:lineRule="atLeast"/>
        <w:jc w:val="left"/>
        <w:rPr>
          <w:color w:val="222222"/>
          <w:sz w:val="20"/>
          <w:szCs w:val="20"/>
        </w:rPr>
      </w:pPr>
      <w:proofErr w:type="spellStart"/>
      <w:r w:rsidRPr="00D66CCA">
        <w:rPr>
          <w:color w:val="222222"/>
          <w:sz w:val="20"/>
          <w:szCs w:val="20"/>
        </w:rPr>
        <w:t>Ozbil</w:t>
      </w:r>
      <w:proofErr w:type="spellEnd"/>
      <w:r w:rsidRPr="00D66CCA">
        <w:rPr>
          <w:color w:val="222222"/>
          <w:sz w:val="20"/>
          <w:szCs w:val="20"/>
        </w:rPr>
        <w:t xml:space="preserve">, A., </w:t>
      </w:r>
      <w:proofErr w:type="spellStart"/>
      <w:r w:rsidRPr="00D66CCA">
        <w:rPr>
          <w:color w:val="222222"/>
          <w:sz w:val="20"/>
          <w:szCs w:val="20"/>
        </w:rPr>
        <w:t>Peponis</w:t>
      </w:r>
      <w:proofErr w:type="spellEnd"/>
      <w:r w:rsidRPr="00D66CCA">
        <w:rPr>
          <w:color w:val="222222"/>
          <w:sz w:val="20"/>
          <w:szCs w:val="20"/>
        </w:rPr>
        <w:t xml:space="preserve">, J., and </w:t>
      </w:r>
      <w:proofErr w:type="spellStart"/>
      <w:r w:rsidRPr="00D66CCA">
        <w:rPr>
          <w:color w:val="222222"/>
          <w:sz w:val="20"/>
          <w:szCs w:val="20"/>
        </w:rPr>
        <w:t>Bafna</w:t>
      </w:r>
      <w:proofErr w:type="spellEnd"/>
      <w:r w:rsidRPr="00D66CCA">
        <w:rPr>
          <w:color w:val="222222"/>
          <w:sz w:val="20"/>
          <w:szCs w:val="20"/>
        </w:rPr>
        <w:t xml:space="preserve"> S.</w:t>
      </w:r>
      <w:r w:rsidR="00C472D7">
        <w:rPr>
          <w:color w:val="222222"/>
          <w:sz w:val="20"/>
          <w:szCs w:val="20"/>
        </w:rPr>
        <w:t>,</w:t>
      </w:r>
      <w:r w:rsidRPr="00D66CCA">
        <w:rPr>
          <w:color w:val="222222"/>
          <w:sz w:val="20"/>
          <w:szCs w:val="20"/>
        </w:rPr>
        <w:t xml:space="preserve"> 2009</w:t>
      </w:r>
      <w:r w:rsidR="00C472D7">
        <w:rPr>
          <w:color w:val="222222"/>
          <w:sz w:val="20"/>
          <w:szCs w:val="20"/>
        </w:rPr>
        <w:t>.</w:t>
      </w:r>
      <w:r w:rsidRPr="00D66CCA">
        <w:rPr>
          <w:color w:val="222222"/>
          <w:sz w:val="20"/>
          <w:szCs w:val="20"/>
        </w:rPr>
        <w:t xml:space="preserve"> </w:t>
      </w:r>
      <w:proofErr w:type="gramStart"/>
      <w:r w:rsidR="00A17BCB" w:rsidRPr="00D66CCA">
        <w:rPr>
          <w:color w:val="222222"/>
          <w:sz w:val="20"/>
          <w:szCs w:val="20"/>
        </w:rPr>
        <w:t>The effects of street configuration on transit ridership</w:t>
      </w:r>
      <w:r w:rsidR="005632FD">
        <w:rPr>
          <w:color w:val="222222"/>
          <w:sz w:val="20"/>
          <w:szCs w:val="20"/>
        </w:rPr>
        <w:t>.</w:t>
      </w:r>
      <w:proofErr w:type="gramEnd"/>
      <w:r w:rsidR="005632FD">
        <w:rPr>
          <w:color w:val="222222"/>
          <w:sz w:val="20"/>
          <w:szCs w:val="20"/>
        </w:rPr>
        <w:t xml:space="preserve"> In: </w:t>
      </w:r>
      <w:r w:rsidR="005632FD" w:rsidRPr="005632FD">
        <w:rPr>
          <w:color w:val="222222"/>
          <w:sz w:val="20"/>
          <w:szCs w:val="20"/>
        </w:rPr>
        <w:t>KTH School of Architecture and the Built Environment</w:t>
      </w:r>
      <w:r w:rsidR="005632FD">
        <w:rPr>
          <w:color w:val="222222"/>
          <w:sz w:val="20"/>
          <w:szCs w:val="20"/>
        </w:rPr>
        <w:t>,</w:t>
      </w:r>
      <w:r w:rsidR="005632FD" w:rsidRPr="005632FD">
        <w:rPr>
          <w:color w:val="222222"/>
          <w:sz w:val="20"/>
          <w:szCs w:val="20"/>
        </w:rPr>
        <w:t xml:space="preserve"> </w:t>
      </w:r>
      <w:r w:rsidRPr="00D66CCA">
        <w:rPr>
          <w:i/>
          <w:color w:val="222222"/>
          <w:sz w:val="20"/>
          <w:szCs w:val="20"/>
        </w:rPr>
        <w:t>7th International Sp</w:t>
      </w:r>
      <w:r w:rsidR="005632FD">
        <w:rPr>
          <w:i/>
          <w:color w:val="222222"/>
          <w:sz w:val="20"/>
          <w:szCs w:val="20"/>
        </w:rPr>
        <w:t xml:space="preserve">ace Syntax Symposium. </w:t>
      </w:r>
      <w:r w:rsidR="005632FD" w:rsidRPr="005632FD">
        <w:rPr>
          <w:color w:val="222222"/>
          <w:sz w:val="20"/>
          <w:szCs w:val="20"/>
        </w:rPr>
        <w:t>Stockholm</w:t>
      </w:r>
      <w:r w:rsidR="005632FD">
        <w:rPr>
          <w:i/>
          <w:color w:val="222222"/>
          <w:sz w:val="20"/>
          <w:szCs w:val="20"/>
        </w:rPr>
        <w:t>.</w:t>
      </w:r>
      <w:r w:rsidRPr="00D66CCA">
        <w:rPr>
          <w:i/>
          <w:color w:val="222222"/>
          <w:sz w:val="20"/>
          <w:szCs w:val="20"/>
        </w:rPr>
        <w:t xml:space="preserve"> </w:t>
      </w:r>
      <w:r w:rsidR="00B20048">
        <w:rPr>
          <w:color w:val="222222"/>
          <w:sz w:val="20"/>
          <w:szCs w:val="20"/>
        </w:rPr>
        <w:t xml:space="preserve">Available from: </w:t>
      </w:r>
      <w:hyperlink r:id="rId15" w:history="1">
        <w:r w:rsidR="00B20048" w:rsidRPr="0009469C">
          <w:rPr>
            <w:rStyle w:val="Hyperlink"/>
            <w:sz w:val="20"/>
            <w:szCs w:val="20"/>
          </w:rPr>
          <w:t>https://faculty.ozyegin.edu.tr/ayseo/files/2014/02/the-effects-of-street-configuration-on-transit-ridership.pdf</w:t>
        </w:r>
      </w:hyperlink>
      <w:r w:rsidR="00B20048">
        <w:rPr>
          <w:color w:val="222222"/>
          <w:sz w:val="20"/>
          <w:szCs w:val="20"/>
        </w:rPr>
        <w:t xml:space="preserve"> [Accessed 17th May, 2015]</w:t>
      </w:r>
    </w:p>
    <w:p w14:paraId="428D4370" w14:textId="77777777" w:rsidR="008943D7" w:rsidRPr="00D66CCA" w:rsidRDefault="008943D7" w:rsidP="00607D4D">
      <w:pPr>
        <w:widowControl w:val="0"/>
        <w:jc w:val="left"/>
        <w:rPr>
          <w:color w:val="000000"/>
          <w:sz w:val="20"/>
          <w:szCs w:val="20"/>
          <w:shd w:val="clear" w:color="auto" w:fill="FFFFFF"/>
          <w:lang w:val="en-US"/>
        </w:rPr>
      </w:pPr>
    </w:p>
    <w:p w14:paraId="778EA504" w14:textId="5397412B" w:rsidR="00BE6943" w:rsidRPr="00BE6943" w:rsidRDefault="00BE6943" w:rsidP="00BE6943">
      <w:pPr>
        <w:jc w:val="left"/>
        <w:rPr>
          <w:rFonts w:ascii="Times" w:hAnsi="Times"/>
          <w:sz w:val="20"/>
          <w:szCs w:val="20"/>
          <w:lang w:val="en-US"/>
        </w:rPr>
      </w:pPr>
      <w:proofErr w:type="spellStart"/>
      <w:r>
        <w:rPr>
          <w:color w:val="222222"/>
          <w:sz w:val="20"/>
          <w:szCs w:val="20"/>
        </w:rPr>
        <w:t>Ozbil</w:t>
      </w:r>
      <w:proofErr w:type="spellEnd"/>
      <w:r>
        <w:rPr>
          <w:color w:val="222222"/>
          <w:sz w:val="20"/>
          <w:szCs w:val="20"/>
        </w:rPr>
        <w:t xml:space="preserve">, </w:t>
      </w:r>
      <w:proofErr w:type="spellStart"/>
      <w:r>
        <w:rPr>
          <w:color w:val="222222"/>
          <w:sz w:val="20"/>
          <w:szCs w:val="20"/>
        </w:rPr>
        <w:t>A.and</w:t>
      </w:r>
      <w:proofErr w:type="spellEnd"/>
      <w:r>
        <w:rPr>
          <w:color w:val="222222"/>
          <w:sz w:val="20"/>
          <w:szCs w:val="20"/>
        </w:rPr>
        <w:t xml:space="preserve"> </w:t>
      </w:r>
      <w:proofErr w:type="spellStart"/>
      <w:r>
        <w:rPr>
          <w:color w:val="222222"/>
          <w:sz w:val="20"/>
          <w:szCs w:val="20"/>
        </w:rPr>
        <w:t>Peponis</w:t>
      </w:r>
      <w:proofErr w:type="spellEnd"/>
      <w:r>
        <w:rPr>
          <w:color w:val="222222"/>
          <w:sz w:val="20"/>
          <w:szCs w:val="20"/>
        </w:rPr>
        <w:t xml:space="preserve">, J., 2012 </w:t>
      </w:r>
      <w:proofErr w:type="gramStart"/>
      <w:r w:rsidRPr="00BE6943">
        <w:rPr>
          <w:rFonts w:ascii="Times" w:hAnsi="Times"/>
          <w:sz w:val="20"/>
          <w:szCs w:val="20"/>
          <w:lang w:val="en-US"/>
        </w:rPr>
        <w:t>The</w:t>
      </w:r>
      <w:proofErr w:type="gramEnd"/>
      <w:r w:rsidRPr="00BE6943">
        <w:rPr>
          <w:rFonts w:ascii="Times" w:hAnsi="Times"/>
          <w:sz w:val="20"/>
          <w:szCs w:val="20"/>
          <w:lang w:val="en-US"/>
        </w:rPr>
        <w:t xml:space="preserve"> effects of urban form on walking to transit</w:t>
      </w:r>
      <w:r>
        <w:rPr>
          <w:rFonts w:ascii="Times" w:hAnsi="Times"/>
          <w:sz w:val="20"/>
          <w:szCs w:val="20"/>
          <w:lang w:val="en-US"/>
        </w:rPr>
        <w:t xml:space="preserve">. In: </w:t>
      </w:r>
      <w:r w:rsidRPr="00BE6943">
        <w:rPr>
          <w:rFonts w:ascii="Times" w:hAnsi="Times"/>
          <w:i/>
          <w:sz w:val="20"/>
          <w:szCs w:val="20"/>
          <w:lang w:val="en-US"/>
        </w:rPr>
        <w:t>Proceedings: Eighth International Space Syntax Symposium</w:t>
      </w:r>
      <w:r w:rsidRPr="00BE6943">
        <w:rPr>
          <w:rFonts w:ascii="Times" w:hAnsi="Times"/>
          <w:sz w:val="20"/>
          <w:szCs w:val="20"/>
          <w:lang w:val="en-US"/>
        </w:rPr>
        <w:t>. Santiago, PUC, 2012.</w:t>
      </w:r>
    </w:p>
    <w:p w14:paraId="143139E5" w14:textId="77777777" w:rsidR="00C72F82" w:rsidRDefault="00C72F82" w:rsidP="00C72F82">
      <w:pPr>
        <w:widowControl w:val="0"/>
        <w:jc w:val="left"/>
        <w:rPr>
          <w:bCs/>
          <w:sz w:val="20"/>
          <w:szCs w:val="20"/>
          <w:lang w:val="en-US"/>
        </w:rPr>
      </w:pPr>
    </w:p>
    <w:p w14:paraId="3F86CFFF" w14:textId="490BDF9F" w:rsidR="00C72F82" w:rsidRPr="00C72F82" w:rsidRDefault="00C72F82" w:rsidP="00C72F82">
      <w:pPr>
        <w:widowControl w:val="0"/>
        <w:jc w:val="left"/>
        <w:rPr>
          <w:bCs/>
          <w:sz w:val="20"/>
          <w:szCs w:val="20"/>
          <w:lang w:val="en-US"/>
        </w:rPr>
      </w:pPr>
      <w:r w:rsidRPr="00C72F82">
        <w:rPr>
          <w:bCs/>
          <w:sz w:val="20"/>
          <w:szCs w:val="20"/>
          <w:lang w:val="en-US"/>
        </w:rPr>
        <w:t>Parsons,</w:t>
      </w:r>
      <w:r>
        <w:rPr>
          <w:bCs/>
          <w:sz w:val="20"/>
          <w:szCs w:val="20"/>
          <w:lang w:val="en-US"/>
        </w:rPr>
        <w:t xml:space="preserve"> et.al</w:t>
      </w:r>
      <w:proofErr w:type="gramStart"/>
      <w:r>
        <w:rPr>
          <w:bCs/>
          <w:sz w:val="20"/>
          <w:szCs w:val="20"/>
          <w:lang w:val="en-US"/>
        </w:rPr>
        <w:t>.,</w:t>
      </w:r>
      <w:proofErr w:type="gramEnd"/>
      <w:r w:rsidRPr="00C72F82">
        <w:rPr>
          <w:bCs/>
          <w:sz w:val="20"/>
          <w:szCs w:val="20"/>
          <w:lang w:val="en-US"/>
        </w:rPr>
        <w:t xml:space="preserve"> 1996. Mode of Access and Catchment Areas of Rail Transit. Transit Cooperative Research Program, Washington DC, TCRP Project H-1.</w:t>
      </w:r>
    </w:p>
    <w:p w14:paraId="27D6E020" w14:textId="77777777" w:rsidR="00C72F82" w:rsidRDefault="00C72F82" w:rsidP="00B21BC3">
      <w:pPr>
        <w:widowControl w:val="0"/>
        <w:jc w:val="left"/>
        <w:rPr>
          <w:bCs/>
          <w:sz w:val="20"/>
          <w:szCs w:val="20"/>
          <w:lang w:val="en-US"/>
        </w:rPr>
      </w:pPr>
    </w:p>
    <w:p w14:paraId="68B97D9C" w14:textId="3C702E16" w:rsidR="00044886" w:rsidRPr="000C007B" w:rsidRDefault="00044886" w:rsidP="00044886">
      <w:pPr>
        <w:ind w:left="284" w:hanging="284"/>
        <w:rPr>
          <w:sz w:val="20"/>
          <w:szCs w:val="20"/>
        </w:rPr>
      </w:pPr>
      <w:proofErr w:type="gramStart"/>
      <w:r w:rsidRPr="000C007B">
        <w:rPr>
          <w:sz w:val="20"/>
          <w:szCs w:val="20"/>
        </w:rPr>
        <w:t>RITES</w:t>
      </w:r>
      <w:r w:rsidR="004077E9">
        <w:rPr>
          <w:sz w:val="20"/>
          <w:szCs w:val="20"/>
        </w:rPr>
        <w:t>, 2008</w:t>
      </w:r>
      <w:r w:rsidRPr="000C007B">
        <w:rPr>
          <w:sz w:val="20"/>
          <w:szCs w:val="20"/>
        </w:rPr>
        <w:t>.</w:t>
      </w:r>
      <w:proofErr w:type="gramEnd"/>
      <w:r w:rsidRPr="000C007B">
        <w:rPr>
          <w:sz w:val="20"/>
          <w:szCs w:val="20"/>
        </w:rPr>
        <w:t xml:space="preserve"> “Delhi Traffic and Forecast Study”, New Delhi </w:t>
      </w:r>
    </w:p>
    <w:p w14:paraId="2F14B006" w14:textId="77777777" w:rsidR="00044886" w:rsidRPr="000C007B" w:rsidRDefault="00044886" w:rsidP="00044886">
      <w:pPr>
        <w:ind w:left="284" w:hanging="284"/>
        <w:rPr>
          <w:sz w:val="20"/>
          <w:szCs w:val="20"/>
        </w:rPr>
      </w:pPr>
    </w:p>
    <w:p w14:paraId="47B1B4AA" w14:textId="18C3D58C" w:rsidR="00044886" w:rsidRPr="000C007B" w:rsidRDefault="00044886" w:rsidP="00044886">
      <w:pPr>
        <w:ind w:left="284" w:hanging="284"/>
        <w:rPr>
          <w:bCs/>
          <w:sz w:val="20"/>
          <w:szCs w:val="20"/>
        </w:rPr>
      </w:pPr>
      <w:proofErr w:type="spellStart"/>
      <w:r w:rsidRPr="000C007B">
        <w:rPr>
          <w:sz w:val="20"/>
          <w:szCs w:val="20"/>
        </w:rPr>
        <w:t>Rodrigue</w:t>
      </w:r>
      <w:proofErr w:type="spellEnd"/>
      <w:r w:rsidRPr="000C007B">
        <w:rPr>
          <w:sz w:val="20"/>
          <w:szCs w:val="20"/>
        </w:rPr>
        <w:t>, J.P.</w:t>
      </w:r>
      <w:r w:rsidR="004077E9">
        <w:rPr>
          <w:sz w:val="20"/>
          <w:szCs w:val="20"/>
        </w:rPr>
        <w:t>, 2013</w:t>
      </w:r>
      <w:r w:rsidRPr="000C007B">
        <w:rPr>
          <w:sz w:val="20"/>
          <w:szCs w:val="20"/>
        </w:rPr>
        <w:t xml:space="preserve">. </w:t>
      </w:r>
      <w:proofErr w:type="gramStart"/>
      <w:r w:rsidRPr="000C007B">
        <w:rPr>
          <w:sz w:val="20"/>
          <w:szCs w:val="20"/>
        </w:rPr>
        <w:t>“</w:t>
      </w:r>
      <w:r w:rsidRPr="000C007B">
        <w:rPr>
          <w:bCs/>
          <w:sz w:val="20"/>
          <w:szCs w:val="20"/>
        </w:rPr>
        <w:t>The geography of transport systems”.</w:t>
      </w:r>
      <w:proofErr w:type="gramEnd"/>
      <w:r w:rsidRPr="000C007B">
        <w:rPr>
          <w:bCs/>
          <w:sz w:val="20"/>
          <w:szCs w:val="20"/>
        </w:rPr>
        <w:t xml:space="preserve"> 3 Ed. </w:t>
      </w:r>
      <w:proofErr w:type="spellStart"/>
      <w:r w:rsidRPr="000C007B">
        <w:rPr>
          <w:bCs/>
          <w:sz w:val="20"/>
          <w:szCs w:val="20"/>
        </w:rPr>
        <w:t>Routledge</w:t>
      </w:r>
      <w:proofErr w:type="spellEnd"/>
      <w:r w:rsidRPr="000C007B">
        <w:rPr>
          <w:bCs/>
          <w:sz w:val="20"/>
          <w:szCs w:val="20"/>
        </w:rPr>
        <w:t>, New York.</w:t>
      </w:r>
    </w:p>
    <w:p w14:paraId="17F68E30" w14:textId="77777777" w:rsidR="00044886" w:rsidRDefault="00044886" w:rsidP="00214C05">
      <w:pPr>
        <w:widowControl w:val="0"/>
        <w:jc w:val="left"/>
        <w:rPr>
          <w:bCs/>
          <w:sz w:val="20"/>
          <w:szCs w:val="20"/>
          <w:lang w:val="en-US"/>
        </w:rPr>
      </w:pPr>
    </w:p>
    <w:p w14:paraId="34C756A6" w14:textId="5E5FCF7A" w:rsidR="00214C05" w:rsidRPr="00214C05" w:rsidRDefault="00214C05" w:rsidP="00214C05">
      <w:pPr>
        <w:widowControl w:val="0"/>
        <w:jc w:val="left"/>
        <w:rPr>
          <w:bCs/>
          <w:sz w:val="20"/>
          <w:szCs w:val="20"/>
          <w:lang w:val="en-US"/>
        </w:rPr>
      </w:pPr>
      <w:r w:rsidRPr="00214C05">
        <w:rPr>
          <w:bCs/>
          <w:sz w:val="20"/>
          <w:szCs w:val="20"/>
          <w:lang w:val="en-US"/>
        </w:rPr>
        <w:t xml:space="preserve">Rodriguez, D. </w:t>
      </w:r>
      <w:r>
        <w:rPr>
          <w:bCs/>
          <w:sz w:val="20"/>
          <w:szCs w:val="20"/>
          <w:lang w:val="en-US"/>
        </w:rPr>
        <w:t>and</w:t>
      </w:r>
      <w:r w:rsidRPr="00214C05">
        <w:rPr>
          <w:bCs/>
          <w:sz w:val="20"/>
          <w:szCs w:val="20"/>
          <w:lang w:val="en-US"/>
        </w:rPr>
        <w:t xml:space="preserve"> </w:t>
      </w:r>
      <w:proofErr w:type="spellStart"/>
      <w:r w:rsidRPr="00214C05">
        <w:rPr>
          <w:bCs/>
          <w:sz w:val="20"/>
          <w:szCs w:val="20"/>
          <w:lang w:val="en-US"/>
        </w:rPr>
        <w:t>Joo</w:t>
      </w:r>
      <w:proofErr w:type="spellEnd"/>
      <w:r w:rsidRPr="00214C05">
        <w:rPr>
          <w:bCs/>
          <w:sz w:val="20"/>
          <w:szCs w:val="20"/>
          <w:lang w:val="en-US"/>
        </w:rPr>
        <w:t>, J.</w:t>
      </w:r>
      <w:r>
        <w:rPr>
          <w:bCs/>
          <w:sz w:val="20"/>
          <w:szCs w:val="20"/>
          <w:lang w:val="en-US"/>
        </w:rPr>
        <w:t>, 2004</w:t>
      </w:r>
      <w:r w:rsidRPr="00214C05">
        <w:rPr>
          <w:bCs/>
          <w:sz w:val="20"/>
          <w:szCs w:val="20"/>
          <w:lang w:val="en-US"/>
        </w:rPr>
        <w:t xml:space="preserve">. The relationship between non-motorized mode choice and the local physical environment. </w:t>
      </w:r>
      <w:r w:rsidRPr="00214C05">
        <w:rPr>
          <w:bCs/>
          <w:i/>
          <w:sz w:val="20"/>
          <w:szCs w:val="20"/>
          <w:lang w:val="en-US"/>
        </w:rPr>
        <w:t>Transportation Research Part D: Transport and Environment</w:t>
      </w:r>
      <w:r w:rsidRPr="00214C05">
        <w:rPr>
          <w:bCs/>
          <w:sz w:val="20"/>
          <w:szCs w:val="20"/>
          <w:lang w:val="en-US"/>
        </w:rPr>
        <w:t>, 9 (2), 151-173.</w:t>
      </w:r>
    </w:p>
    <w:p w14:paraId="5782E82E" w14:textId="77777777" w:rsidR="00214C05" w:rsidRDefault="00214C05" w:rsidP="00B21BC3">
      <w:pPr>
        <w:widowControl w:val="0"/>
        <w:jc w:val="left"/>
        <w:rPr>
          <w:bCs/>
          <w:sz w:val="20"/>
          <w:szCs w:val="20"/>
          <w:lang w:val="en-US"/>
        </w:rPr>
      </w:pPr>
    </w:p>
    <w:p w14:paraId="5275005F" w14:textId="3275B6A9" w:rsidR="00363A59" w:rsidRPr="00363A59" w:rsidRDefault="00363A59" w:rsidP="00363A59">
      <w:pPr>
        <w:widowControl w:val="0"/>
        <w:jc w:val="left"/>
        <w:rPr>
          <w:bCs/>
          <w:sz w:val="20"/>
          <w:szCs w:val="20"/>
          <w:lang w:val="en-US"/>
        </w:rPr>
      </w:pPr>
      <w:proofErr w:type="spellStart"/>
      <w:r>
        <w:rPr>
          <w:bCs/>
          <w:sz w:val="20"/>
          <w:szCs w:val="20"/>
          <w:lang w:val="en-US"/>
        </w:rPr>
        <w:t>Sahai</w:t>
      </w:r>
      <w:proofErr w:type="spellEnd"/>
      <w:r>
        <w:rPr>
          <w:bCs/>
          <w:sz w:val="20"/>
          <w:szCs w:val="20"/>
          <w:lang w:val="en-US"/>
        </w:rPr>
        <w:t xml:space="preserve">, S.N. and Bishop, S., 2010. </w:t>
      </w:r>
      <w:r w:rsidRPr="00363A59">
        <w:rPr>
          <w:bCs/>
          <w:sz w:val="20"/>
          <w:szCs w:val="20"/>
          <w:lang w:val="en-US"/>
        </w:rPr>
        <w:t>Multi Modal Transport in a Low Carbon Future</w:t>
      </w:r>
      <w:r>
        <w:rPr>
          <w:bCs/>
          <w:sz w:val="20"/>
          <w:szCs w:val="20"/>
          <w:lang w:val="en-US"/>
        </w:rPr>
        <w:t>, India Infrastructure Report, N. Delhi.</w:t>
      </w:r>
    </w:p>
    <w:p w14:paraId="69D2F6A9" w14:textId="2388E619" w:rsidR="00363A59" w:rsidRDefault="00363A59" w:rsidP="00B21BC3">
      <w:pPr>
        <w:widowControl w:val="0"/>
        <w:jc w:val="left"/>
        <w:rPr>
          <w:bCs/>
          <w:sz w:val="20"/>
          <w:szCs w:val="20"/>
          <w:lang w:val="en-US"/>
        </w:rPr>
      </w:pPr>
    </w:p>
    <w:p w14:paraId="03DAB8B8" w14:textId="3E479113" w:rsidR="001D4513" w:rsidRPr="001D4513" w:rsidRDefault="00486F47" w:rsidP="001D4513">
      <w:pPr>
        <w:widowControl w:val="0"/>
        <w:jc w:val="left"/>
        <w:rPr>
          <w:bCs/>
          <w:sz w:val="20"/>
          <w:szCs w:val="20"/>
          <w:lang w:val="en-US"/>
        </w:rPr>
      </w:pPr>
      <w:proofErr w:type="spellStart"/>
      <w:proofErr w:type="gramStart"/>
      <w:r>
        <w:rPr>
          <w:bCs/>
          <w:sz w:val="20"/>
          <w:szCs w:val="20"/>
          <w:lang w:val="en-US"/>
        </w:rPr>
        <w:t>Stopher</w:t>
      </w:r>
      <w:proofErr w:type="spellEnd"/>
      <w:r>
        <w:rPr>
          <w:bCs/>
          <w:sz w:val="20"/>
          <w:szCs w:val="20"/>
          <w:lang w:val="en-US"/>
        </w:rPr>
        <w:t xml:space="preserve"> et al., 1974</w:t>
      </w:r>
      <w:r w:rsidR="001D4513" w:rsidRPr="001D4513">
        <w:rPr>
          <w:bCs/>
          <w:sz w:val="20"/>
          <w:szCs w:val="20"/>
          <w:lang w:val="en-US"/>
        </w:rPr>
        <w:t>.</w:t>
      </w:r>
      <w:proofErr w:type="gramEnd"/>
      <w:r w:rsidR="001D4513" w:rsidRPr="001D4513">
        <w:rPr>
          <w:bCs/>
          <w:sz w:val="20"/>
          <w:szCs w:val="20"/>
          <w:lang w:val="en-US"/>
        </w:rPr>
        <w:t xml:space="preserve"> Towards the Development of Measures of Convenience for Travel Modes, </w:t>
      </w:r>
      <w:r w:rsidR="001D4513" w:rsidRPr="001D4513">
        <w:rPr>
          <w:bCs/>
          <w:i/>
          <w:sz w:val="20"/>
          <w:szCs w:val="20"/>
          <w:lang w:val="en-US"/>
        </w:rPr>
        <w:t>Transportation Research Record</w:t>
      </w:r>
      <w:r w:rsidR="001D4513" w:rsidRPr="001D4513">
        <w:rPr>
          <w:bCs/>
          <w:sz w:val="20"/>
          <w:szCs w:val="20"/>
          <w:lang w:val="en-US"/>
        </w:rPr>
        <w:t xml:space="preserve"> No. 527, pp. 16</w:t>
      </w:r>
      <w:r w:rsidR="001D4513" w:rsidRPr="001D4513">
        <w:rPr>
          <w:rFonts w:ascii="Noteworthy Bold" w:hAnsi="Noteworthy Bold" w:cs="Noteworthy Bold"/>
          <w:bCs/>
          <w:sz w:val="20"/>
          <w:szCs w:val="20"/>
          <w:lang w:val="en-US"/>
        </w:rPr>
        <w:t>‐</w:t>
      </w:r>
      <w:r w:rsidR="001D4513" w:rsidRPr="001D4513">
        <w:rPr>
          <w:bCs/>
          <w:sz w:val="20"/>
          <w:szCs w:val="20"/>
          <w:lang w:val="en-US"/>
        </w:rPr>
        <w:t>32.</w:t>
      </w:r>
    </w:p>
    <w:p w14:paraId="2F71C5CE" w14:textId="77777777" w:rsidR="001D4513" w:rsidRDefault="001D4513" w:rsidP="00B21BC3">
      <w:pPr>
        <w:widowControl w:val="0"/>
        <w:jc w:val="left"/>
        <w:rPr>
          <w:bCs/>
          <w:sz w:val="20"/>
          <w:szCs w:val="20"/>
          <w:lang w:val="en-US"/>
        </w:rPr>
      </w:pPr>
    </w:p>
    <w:p w14:paraId="3264EE84" w14:textId="361FCF14" w:rsidR="00B21BC3" w:rsidRDefault="00B21BC3" w:rsidP="00B21BC3">
      <w:pPr>
        <w:widowControl w:val="0"/>
        <w:jc w:val="left"/>
        <w:rPr>
          <w:bCs/>
          <w:sz w:val="20"/>
          <w:szCs w:val="20"/>
          <w:lang w:val="en-US"/>
        </w:rPr>
      </w:pPr>
      <w:proofErr w:type="spellStart"/>
      <w:r w:rsidRPr="00B21BC3">
        <w:rPr>
          <w:bCs/>
          <w:sz w:val="20"/>
          <w:szCs w:val="20"/>
          <w:lang w:val="en-US"/>
        </w:rPr>
        <w:t>Sung</w:t>
      </w:r>
      <w:proofErr w:type="gramStart"/>
      <w:r w:rsidRPr="00B21BC3">
        <w:rPr>
          <w:bCs/>
          <w:sz w:val="20"/>
          <w:szCs w:val="20"/>
          <w:lang w:val="en-US"/>
        </w:rPr>
        <w:t>,</w:t>
      </w:r>
      <w:r>
        <w:rPr>
          <w:bCs/>
          <w:sz w:val="20"/>
          <w:szCs w:val="20"/>
          <w:lang w:val="en-US"/>
        </w:rPr>
        <w:t>H</w:t>
      </w:r>
      <w:proofErr w:type="spellEnd"/>
      <w:proofErr w:type="gramEnd"/>
      <w:r>
        <w:rPr>
          <w:bCs/>
          <w:sz w:val="20"/>
          <w:szCs w:val="20"/>
          <w:lang w:val="en-US"/>
        </w:rPr>
        <w:t>. et.al.</w:t>
      </w:r>
      <w:r w:rsidR="00C472D7">
        <w:rPr>
          <w:bCs/>
          <w:sz w:val="20"/>
          <w:szCs w:val="20"/>
          <w:lang w:val="en-US"/>
        </w:rPr>
        <w:t>,</w:t>
      </w:r>
      <w:r>
        <w:rPr>
          <w:bCs/>
          <w:sz w:val="20"/>
          <w:szCs w:val="20"/>
          <w:lang w:val="en-US"/>
        </w:rPr>
        <w:t xml:space="preserve"> </w:t>
      </w:r>
      <w:r w:rsidR="00C472D7">
        <w:rPr>
          <w:bCs/>
          <w:sz w:val="20"/>
          <w:szCs w:val="20"/>
          <w:lang w:val="en-US"/>
        </w:rPr>
        <w:t>2014</w:t>
      </w:r>
      <w:r>
        <w:rPr>
          <w:bCs/>
          <w:sz w:val="20"/>
          <w:szCs w:val="20"/>
          <w:lang w:val="en-US"/>
        </w:rPr>
        <w:t xml:space="preserve">. </w:t>
      </w:r>
      <w:r w:rsidRPr="00B21BC3">
        <w:rPr>
          <w:bCs/>
          <w:sz w:val="20"/>
          <w:szCs w:val="20"/>
          <w:lang w:val="en-US"/>
        </w:rPr>
        <w:t>Exploring the impacts of land use by service coverage and station-level accessibility on rail transit ridership</w:t>
      </w:r>
      <w:r>
        <w:rPr>
          <w:sz w:val="20"/>
          <w:szCs w:val="20"/>
          <w:lang w:val="en-US"/>
        </w:rPr>
        <w:t xml:space="preserve">. </w:t>
      </w:r>
      <w:r w:rsidRPr="005623BF">
        <w:rPr>
          <w:bCs/>
          <w:i/>
          <w:sz w:val="20"/>
          <w:szCs w:val="20"/>
          <w:lang w:val="en-US"/>
        </w:rPr>
        <w:t>Journal of Transport Geography</w:t>
      </w:r>
      <w:r w:rsidRPr="00B21BC3">
        <w:rPr>
          <w:bCs/>
          <w:sz w:val="20"/>
          <w:szCs w:val="20"/>
          <w:lang w:val="en-US"/>
        </w:rPr>
        <w:t>, Vol</w:t>
      </w:r>
      <w:r w:rsidR="005623BF">
        <w:rPr>
          <w:bCs/>
          <w:sz w:val="20"/>
          <w:szCs w:val="20"/>
          <w:lang w:val="en-US"/>
        </w:rPr>
        <w:t>.</w:t>
      </w:r>
      <w:r w:rsidRPr="00B21BC3">
        <w:rPr>
          <w:bCs/>
          <w:sz w:val="20"/>
          <w:szCs w:val="20"/>
          <w:lang w:val="en-US"/>
        </w:rPr>
        <w:t xml:space="preserve"> 36 </w:t>
      </w:r>
    </w:p>
    <w:p w14:paraId="651EFD6A" w14:textId="77777777" w:rsidR="00B21BC3" w:rsidRPr="00B21BC3" w:rsidRDefault="00B21BC3" w:rsidP="00B21BC3">
      <w:pPr>
        <w:widowControl w:val="0"/>
        <w:jc w:val="left"/>
        <w:rPr>
          <w:sz w:val="20"/>
          <w:szCs w:val="20"/>
          <w:lang w:val="en-US"/>
        </w:rPr>
      </w:pPr>
    </w:p>
    <w:p w14:paraId="72DB1E5C" w14:textId="47E2F157" w:rsidR="00D66CCA" w:rsidRDefault="00D66CCA" w:rsidP="00D66CCA">
      <w:pPr>
        <w:widowControl w:val="0"/>
        <w:jc w:val="left"/>
        <w:rPr>
          <w:bCs/>
          <w:sz w:val="20"/>
          <w:szCs w:val="20"/>
        </w:rPr>
      </w:pPr>
      <w:r w:rsidRPr="00D66CCA">
        <w:rPr>
          <w:sz w:val="20"/>
          <w:szCs w:val="20"/>
        </w:rPr>
        <w:t xml:space="preserve">Tay, </w:t>
      </w:r>
      <w:r w:rsidRPr="00D66CCA">
        <w:rPr>
          <w:bCs/>
          <w:sz w:val="20"/>
          <w:szCs w:val="20"/>
        </w:rPr>
        <w:t>H.</w:t>
      </w:r>
      <w:r w:rsidR="00521035">
        <w:rPr>
          <w:bCs/>
          <w:sz w:val="20"/>
          <w:szCs w:val="20"/>
        </w:rPr>
        <w:t>,</w:t>
      </w:r>
      <w:r w:rsidR="00521035">
        <w:rPr>
          <w:sz w:val="20"/>
          <w:szCs w:val="20"/>
        </w:rPr>
        <w:t xml:space="preserve"> 2012</w:t>
      </w:r>
      <w:r w:rsidR="005632FD">
        <w:rPr>
          <w:sz w:val="20"/>
          <w:szCs w:val="20"/>
        </w:rPr>
        <w:t xml:space="preserve">. </w:t>
      </w:r>
      <w:r w:rsidRPr="00D66CCA">
        <w:rPr>
          <w:bCs/>
          <w:sz w:val="20"/>
          <w:szCs w:val="20"/>
        </w:rPr>
        <w:t xml:space="preserve">Cycling infrastructure as a first mile solution for mass transit access in </w:t>
      </w:r>
      <w:r w:rsidR="005623BF" w:rsidRPr="00D66CCA">
        <w:rPr>
          <w:bCs/>
          <w:sz w:val="20"/>
          <w:szCs w:val="20"/>
        </w:rPr>
        <w:t>Singapore</w:t>
      </w:r>
      <w:r w:rsidRPr="00D66CCA">
        <w:rPr>
          <w:bCs/>
          <w:sz w:val="20"/>
          <w:szCs w:val="20"/>
        </w:rPr>
        <w:t xml:space="preserve"> -a study of M</w:t>
      </w:r>
      <w:r w:rsidR="005632FD">
        <w:rPr>
          <w:bCs/>
          <w:sz w:val="20"/>
          <w:szCs w:val="20"/>
        </w:rPr>
        <w:t>RT ridership in Singapore towns.</w:t>
      </w:r>
      <w:r w:rsidRPr="00D66CCA">
        <w:rPr>
          <w:bCs/>
          <w:sz w:val="20"/>
          <w:szCs w:val="20"/>
        </w:rPr>
        <w:t xml:space="preserve"> </w:t>
      </w:r>
      <w:proofErr w:type="spellStart"/>
      <w:r w:rsidRPr="00D66CCA">
        <w:rPr>
          <w:bCs/>
          <w:sz w:val="20"/>
          <w:szCs w:val="20"/>
        </w:rPr>
        <w:t>Nanyang</w:t>
      </w:r>
      <w:proofErr w:type="spellEnd"/>
      <w:r w:rsidRPr="00D66CCA">
        <w:rPr>
          <w:bCs/>
          <w:sz w:val="20"/>
          <w:szCs w:val="20"/>
        </w:rPr>
        <w:t xml:space="preserve"> Technological University, Massachusetts Institute Of Technology.</w:t>
      </w:r>
    </w:p>
    <w:p w14:paraId="6539D16D" w14:textId="77777777" w:rsidR="00711408" w:rsidRDefault="00711408" w:rsidP="00711408">
      <w:pPr>
        <w:widowControl w:val="0"/>
        <w:jc w:val="left"/>
        <w:rPr>
          <w:bCs/>
          <w:sz w:val="20"/>
          <w:szCs w:val="20"/>
          <w:lang w:val="en-US"/>
        </w:rPr>
      </w:pPr>
    </w:p>
    <w:p w14:paraId="796C2135" w14:textId="46189E1B" w:rsidR="00D66CCA" w:rsidRPr="00644A5B" w:rsidRDefault="00711408" w:rsidP="00607D4D">
      <w:pPr>
        <w:widowControl w:val="0"/>
        <w:jc w:val="left"/>
      </w:pPr>
      <w:proofErr w:type="gramStart"/>
      <w:r w:rsidRPr="00711408">
        <w:rPr>
          <w:bCs/>
          <w:sz w:val="20"/>
          <w:szCs w:val="20"/>
          <w:lang w:val="en-US"/>
        </w:rPr>
        <w:t>TNN</w:t>
      </w:r>
      <w:r>
        <w:rPr>
          <w:bCs/>
          <w:sz w:val="20"/>
          <w:szCs w:val="20"/>
          <w:lang w:val="en-US"/>
        </w:rPr>
        <w:t>, 2009.</w:t>
      </w:r>
      <w:proofErr w:type="gramEnd"/>
      <w:r w:rsidRPr="00711408">
        <w:rPr>
          <w:bCs/>
          <w:sz w:val="20"/>
          <w:szCs w:val="20"/>
          <w:lang w:val="en-US"/>
        </w:rPr>
        <w:t xml:space="preserve"> Delhi limps behind in walkability index</w:t>
      </w:r>
      <w:r>
        <w:rPr>
          <w:bCs/>
          <w:sz w:val="20"/>
          <w:szCs w:val="20"/>
          <w:lang w:val="en-US"/>
        </w:rPr>
        <w:t xml:space="preserve">. The Times of India, Delhi [online] </w:t>
      </w:r>
      <w:r w:rsidRPr="00711408">
        <w:rPr>
          <w:bCs/>
          <w:sz w:val="20"/>
          <w:szCs w:val="20"/>
          <w:lang w:val="en-US"/>
        </w:rPr>
        <w:t>Sep 26, 2009, </w:t>
      </w:r>
      <w:r>
        <w:rPr>
          <w:bCs/>
          <w:sz w:val="20"/>
          <w:szCs w:val="20"/>
          <w:lang w:val="en-US"/>
        </w:rPr>
        <w:t xml:space="preserve">Available from: </w:t>
      </w:r>
      <w:hyperlink r:id="rId16" w:history="1">
        <w:r w:rsidRPr="003953AE">
          <w:rPr>
            <w:rStyle w:val="Hyperlink"/>
            <w:bCs/>
            <w:sz w:val="20"/>
            <w:szCs w:val="20"/>
            <w:lang w:val="en-US"/>
          </w:rPr>
          <w:t>http://timesofindia.indiatimes.com/city/delhi/Delhi-limps-behind-in-walkability-index/articleshow/5058302.cms</w:t>
        </w:r>
      </w:hyperlink>
      <w:r>
        <w:rPr>
          <w:bCs/>
          <w:sz w:val="20"/>
          <w:szCs w:val="20"/>
          <w:lang w:val="en-US"/>
        </w:rPr>
        <w:t xml:space="preserve"> [Accessed 25th May, 2015]</w:t>
      </w:r>
      <w:r w:rsidR="00644A5B">
        <w:t xml:space="preserve"> </w:t>
      </w:r>
    </w:p>
    <w:sectPr w:rsidR="00D66CCA" w:rsidRPr="00644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Noteworthy Bold">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780356"/>
    <w:multiLevelType w:val="multilevel"/>
    <w:tmpl w:val="60A638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0684563"/>
    <w:multiLevelType w:val="multilevel"/>
    <w:tmpl w:val="6AB646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4D"/>
    <w:rsid w:val="00002947"/>
    <w:rsid w:val="000045F4"/>
    <w:rsid w:val="00005DC6"/>
    <w:rsid w:val="00010A45"/>
    <w:rsid w:val="000110C3"/>
    <w:rsid w:val="000116CE"/>
    <w:rsid w:val="00011825"/>
    <w:rsid w:val="00011BE0"/>
    <w:rsid w:val="00012012"/>
    <w:rsid w:val="00012C55"/>
    <w:rsid w:val="000133D4"/>
    <w:rsid w:val="000139C6"/>
    <w:rsid w:val="00013B94"/>
    <w:rsid w:val="0001536B"/>
    <w:rsid w:val="00015FDC"/>
    <w:rsid w:val="00016339"/>
    <w:rsid w:val="00016F9A"/>
    <w:rsid w:val="000176E5"/>
    <w:rsid w:val="00017A1E"/>
    <w:rsid w:val="00017EA6"/>
    <w:rsid w:val="00020BA3"/>
    <w:rsid w:val="00022FD7"/>
    <w:rsid w:val="000232E9"/>
    <w:rsid w:val="00023B8F"/>
    <w:rsid w:val="0002556D"/>
    <w:rsid w:val="000266D5"/>
    <w:rsid w:val="00026C22"/>
    <w:rsid w:val="000326B3"/>
    <w:rsid w:val="00032F9C"/>
    <w:rsid w:val="00033D1A"/>
    <w:rsid w:val="00035AB0"/>
    <w:rsid w:val="00035C45"/>
    <w:rsid w:val="00036818"/>
    <w:rsid w:val="00036C68"/>
    <w:rsid w:val="000378E2"/>
    <w:rsid w:val="0004157B"/>
    <w:rsid w:val="00041CE9"/>
    <w:rsid w:val="00042D58"/>
    <w:rsid w:val="00044886"/>
    <w:rsid w:val="00044E12"/>
    <w:rsid w:val="00044ED8"/>
    <w:rsid w:val="00044F13"/>
    <w:rsid w:val="00045A41"/>
    <w:rsid w:val="0004644B"/>
    <w:rsid w:val="00046F1E"/>
    <w:rsid w:val="0005383E"/>
    <w:rsid w:val="0005393D"/>
    <w:rsid w:val="00053ABC"/>
    <w:rsid w:val="00054B11"/>
    <w:rsid w:val="000555C5"/>
    <w:rsid w:val="000558BC"/>
    <w:rsid w:val="00056643"/>
    <w:rsid w:val="00056CA8"/>
    <w:rsid w:val="000572B2"/>
    <w:rsid w:val="000574F7"/>
    <w:rsid w:val="00057A6C"/>
    <w:rsid w:val="0006049C"/>
    <w:rsid w:val="00061760"/>
    <w:rsid w:val="000657A2"/>
    <w:rsid w:val="00065E78"/>
    <w:rsid w:val="000677B5"/>
    <w:rsid w:val="000678AD"/>
    <w:rsid w:val="00067D4D"/>
    <w:rsid w:val="000709F3"/>
    <w:rsid w:val="0007150F"/>
    <w:rsid w:val="00072CDF"/>
    <w:rsid w:val="0007396F"/>
    <w:rsid w:val="000752FB"/>
    <w:rsid w:val="00077349"/>
    <w:rsid w:val="0007757C"/>
    <w:rsid w:val="000808C3"/>
    <w:rsid w:val="00081AE2"/>
    <w:rsid w:val="00081FCB"/>
    <w:rsid w:val="0008349A"/>
    <w:rsid w:val="000835F7"/>
    <w:rsid w:val="00083600"/>
    <w:rsid w:val="00086180"/>
    <w:rsid w:val="0008625D"/>
    <w:rsid w:val="0008669F"/>
    <w:rsid w:val="00086A87"/>
    <w:rsid w:val="00086F77"/>
    <w:rsid w:val="00087C01"/>
    <w:rsid w:val="00087DE4"/>
    <w:rsid w:val="00090E46"/>
    <w:rsid w:val="00091904"/>
    <w:rsid w:val="00091F0B"/>
    <w:rsid w:val="00092421"/>
    <w:rsid w:val="000948E9"/>
    <w:rsid w:val="00094AE0"/>
    <w:rsid w:val="00094C62"/>
    <w:rsid w:val="0009685A"/>
    <w:rsid w:val="00097508"/>
    <w:rsid w:val="00097806"/>
    <w:rsid w:val="000A0986"/>
    <w:rsid w:val="000A0A06"/>
    <w:rsid w:val="000A112D"/>
    <w:rsid w:val="000A1E0E"/>
    <w:rsid w:val="000A283D"/>
    <w:rsid w:val="000A2C26"/>
    <w:rsid w:val="000A40C2"/>
    <w:rsid w:val="000A5F37"/>
    <w:rsid w:val="000A67B8"/>
    <w:rsid w:val="000B022F"/>
    <w:rsid w:val="000B0490"/>
    <w:rsid w:val="000B08F7"/>
    <w:rsid w:val="000B10AC"/>
    <w:rsid w:val="000B13F5"/>
    <w:rsid w:val="000B1D3F"/>
    <w:rsid w:val="000B1EFA"/>
    <w:rsid w:val="000B3379"/>
    <w:rsid w:val="000B5550"/>
    <w:rsid w:val="000B560D"/>
    <w:rsid w:val="000B56AE"/>
    <w:rsid w:val="000B5E05"/>
    <w:rsid w:val="000B72F6"/>
    <w:rsid w:val="000B7903"/>
    <w:rsid w:val="000C3305"/>
    <w:rsid w:val="000C3ACE"/>
    <w:rsid w:val="000C46F7"/>
    <w:rsid w:val="000C4D08"/>
    <w:rsid w:val="000C518A"/>
    <w:rsid w:val="000C5DA7"/>
    <w:rsid w:val="000C75DB"/>
    <w:rsid w:val="000D05B6"/>
    <w:rsid w:val="000D177A"/>
    <w:rsid w:val="000D1896"/>
    <w:rsid w:val="000D2AB2"/>
    <w:rsid w:val="000D2F8D"/>
    <w:rsid w:val="000D3DA8"/>
    <w:rsid w:val="000D40EF"/>
    <w:rsid w:val="000D6880"/>
    <w:rsid w:val="000D6B3F"/>
    <w:rsid w:val="000D7519"/>
    <w:rsid w:val="000D7692"/>
    <w:rsid w:val="000D7E17"/>
    <w:rsid w:val="000D7E8B"/>
    <w:rsid w:val="000E213E"/>
    <w:rsid w:val="000E4460"/>
    <w:rsid w:val="000E4944"/>
    <w:rsid w:val="000E5241"/>
    <w:rsid w:val="000E7BAD"/>
    <w:rsid w:val="000E7CFB"/>
    <w:rsid w:val="000E7F7C"/>
    <w:rsid w:val="000F0DA8"/>
    <w:rsid w:val="000F295E"/>
    <w:rsid w:val="000F3C58"/>
    <w:rsid w:val="000F42F6"/>
    <w:rsid w:val="000F47AA"/>
    <w:rsid w:val="000F4D2D"/>
    <w:rsid w:val="000F5900"/>
    <w:rsid w:val="000F6FFC"/>
    <w:rsid w:val="000F73E6"/>
    <w:rsid w:val="0010027E"/>
    <w:rsid w:val="001010E1"/>
    <w:rsid w:val="00101957"/>
    <w:rsid w:val="00102314"/>
    <w:rsid w:val="00104DB9"/>
    <w:rsid w:val="001058CA"/>
    <w:rsid w:val="0010636B"/>
    <w:rsid w:val="00107EA3"/>
    <w:rsid w:val="00111455"/>
    <w:rsid w:val="00112A91"/>
    <w:rsid w:val="00113034"/>
    <w:rsid w:val="001131A9"/>
    <w:rsid w:val="0011400A"/>
    <w:rsid w:val="00114EE5"/>
    <w:rsid w:val="0011565D"/>
    <w:rsid w:val="0011675D"/>
    <w:rsid w:val="00116B06"/>
    <w:rsid w:val="00117A79"/>
    <w:rsid w:val="00117D85"/>
    <w:rsid w:val="00121024"/>
    <w:rsid w:val="00121AEC"/>
    <w:rsid w:val="00122CA4"/>
    <w:rsid w:val="001234F0"/>
    <w:rsid w:val="00123BF8"/>
    <w:rsid w:val="00124390"/>
    <w:rsid w:val="00124F38"/>
    <w:rsid w:val="00125E4E"/>
    <w:rsid w:val="00126C91"/>
    <w:rsid w:val="001309D1"/>
    <w:rsid w:val="001311D3"/>
    <w:rsid w:val="0013169A"/>
    <w:rsid w:val="00133FB5"/>
    <w:rsid w:val="001346C4"/>
    <w:rsid w:val="001347D1"/>
    <w:rsid w:val="00135EAC"/>
    <w:rsid w:val="0013734C"/>
    <w:rsid w:val="0014043E"/>
    <w:rsid w:val="00141907"/>
    <w:rsid w:val="001421EF"/>
    <w:rsid w:val="00142D9D"/>
    <w:rsid w:val="0014310C"/>
    <w:rsid w:val="001435C4"/>
    <w:rsid w:val="00143656"/>
    <w:rsid w:val="001438E2"/>
    <w:rsid w:val="00143B35"/>
    <w:rsid w:val="00144E6A"/>
    <w:rsid w:val="00145C86"/>
    <w:rsid w:val="00147303"/>
    <w:rsid w:val="001508CE"/>
    <w:rsid w:val="00151E8A"/>
    <w:rsid w:val="0015305E"/>
    <w:rsid w:val="00153395"/>
    <w:rsid w:val="00153E72"/>
    <w:rsid w:val="00154000"/>
    <w:rsid w:val="0015437E"/>
    <w:rsid w:val="00155133"/>
    <w:rsid w:val="001553F5"/>
    <w:rsid w:val="001554E4"/>
    <w:rsid w:val="0015590F"/>
    <w:rsid w:val="00155A27"/>
    <w:rsid w:val="00156729"/>
    <w:rsid w:val="001603D1"/>
    <w:rsid w:val="001605D3"/>
    <w:rsid w:val="00162984"/>
    <w:rsid w:val="00162FA6"/>
    <w:rsid w:val="0016392D"/>
    <w:rsid w:val="00163CB5"/>
    <w:rsid w:val="00167861"/>
    <w:rsid w:val="00167F9F"/>
    <w:rsid w:val="001706C6"/>
    <w:rsid w:val="001712EA"/>
    <w:rsid w:val="00171A55"/>
    <w:rsid w:val="00172469"/>
    <w:rsid w:val="00172A70"/>
    <w:rsid w:val="00172EE5"/>
    <w:rsid w:val="00174C0A"/>
    <w:rsid w:val="00174F4C"/>
    <w:rsid w:val="001758F7"/>
    <w:rsid w:val="00175E15"/>
    <w:rsid w:val="00175FA4"/>
    <w:rsid w:val="00176965"/>
    <w:rsid w:val="0017723C"/>
    <w:rsid w:val="00177767"/>
    <w:rsid w:val="0018011A"/>
    <w:rsid w:val="00180A7A"/>
    <w:rsid w:val="00181503"/>
    <w:rsid w:val="00181AEF"/>
    <w:rsid w:val="00181B09"/>
    <w:rsid w:val="00182DFF"/>
    <w:rsid w:val="00183547"/>
    <w:rsid w:val="001835C4"/>
    <w:rsid w:val="00183824"/>
    <w:rsid w:val="0018386F"/>
    <w:rsid w:val="00183CFE"/>
    <w:rsid w:val="001842B5"/>
    <w:rsid w:val="00184607"/>
    <w:rsid w:val="0018466E"/>
    <w:rsid w:val="00185804"/>
    <w:rsid w:val="001916B1"/>
    <w:rsid w:val="00192273"/>
    <w:rsid w:val="00192628"/>
    <w:rsid w:val="001933A1"/>
    <w:rsid w:val="001934BD"/>
    <w:rsid w:val="001938D8"/>
    <w:rsid w:val="00195154"/>
    <w:rsid w:val="0019620A"/>
    <w:rsid w:val="001970AB"/>
    <w:rsid w:val="001972DB"/>
    <w:rsid w:val="0019744A"/>
    <w:rsid w:val="00197551"/>
    <w:rsid w:val="001A1286"/>
    <w:rsid w:val="001A1B3F"/>
    <w:rsid w:val="001A453D"/>
    <w:rsid w:val="001A465B"/>
    <w:rsid w:val="001B144F"/>
    <w:rsid w:val="001B1813"/>
    <w:rsid w:val="001B20ED"/>
    <w:rsid w:val="001B28B6"/>
    <w:rsid w:val="001B3447"/>
    <w:rsid w:val="001B4B72"/>
    <w:rsid w:val="001B7469"/>
    <w:rsid w:val="001B7963"/>
    <w:rsid w:val="001C190D"/>
    <w:rsid w:val="001C3B33"/>
    <w:rsid w:val="001C52A9"/>
    <w:rsid w:val="001C5489"/>
    <w:rsid w:val="001C73AA"/>
    <w:rsid w:val="001C7D90"/>
    <w:rsid w:val="001C7F45"/>
    <w:rsid w:val="001D13B7"/>
    <w:rsid w:val="001D1551"/>
    <w:rsid w:val="001D4513"/>
    <w:rsid w:val="001D4D99"/>
    <w:rsid w:val="001D64A6"/>
    <w:rsid w:val="001E25CD"/>
    <w:rsid w:val="001E2B16"/>
    <w:rsid w:val="001E4228"/>
    <w:rsid w:val="001E473D"/>
    <w:rsid w:val="001E4FEA"/>
    <w:rsid w:val="001E5179"/>
    <w:rsid w:val="001E5379"/>
    <w:rsid w:val="001E5B67"/>
    <w:rsid w:val="001E5FA6"/>
    <w:rsid w:val="001E6C1F"/>
    <w:rsid w:val="001F0EFF"/>
    <w:rsid w:val="001F27B7"/>
    <w:rsid w:val="001F27F9"/>
    <w:rsid w:val="001F2CBE"/>
    <w:rsid w:val="001F2CE4"/>
    <w:rsid w:val="001F4856"/>
    <w:rsid w:val="001F4FD2"/>
    <w:rsid w:val="001F5334"/>
    <w:rsid w:val="001F5709"/>
    <w:rsid w:val="001F60CC"/>
    <w:rsid w:val="001F61F5"/>
    <w:rsid w:val="001F6710"/>
    <w:rsid w:val="001F7C60"/>
    <w:rsid w:val="0020021C"/>
    <w:rsid w:val="002003AB"/>
    <w:rsid w:val="002015F1"/>
    <w:rsid w:val="00201B9B"/>
    <w:rsid w:val="00203110"/>
    <w:rsid w:val="0020362D"/>
    <w:rsid w:val="00203A10"/>
    <w:rsid w:val="00203B44"/>
    <w:rsid w:val="00206041"/>
    <w:rsid w:val="00207733"/>
    <w:rsid w:val="00207DBB"/>
    <w:rsid w:val="00210A3E"/>
    <w:rsid w:val="00210ECC"/>
    <w:rsid w:val="00211292"/>
    <w:rsid w:val="00213271"/>
    <w:rsid w:val="00214A2E"/>
    <w:rsid w:val="00214C05"/>
    <w:rsid w:val="00215754"/>
    <w:rsid w:val="002207D4"/>
    <w:rsid w:val="00223348"/>
    <w:rsid w:val="002233B3"/>
    <w:rsid w:val="0022461B"/>
    <w:rsid w:val="00224F7D"/>
    <w:rsid w:val="002252BC"/>
    <w:rsid w:val="00225C10"/>
    <w:rsid w:val="00225EE8"/>
    <w:rsid w:val="002265C3"/>
    <w:rsid w:val="00226ADD"/>
    <w:rsid w:val="002304F0"/>
    <w:rsid w:val="00235488"/>
    <w:rsid w:val="00235FE3"/>
    <w:rsid w:val="0024047F"/>
    <w:rsid w:val="00240664"/>
    <w:rsid w:val="00240AD5"/>
    <w:rsid w:val="0024195A"/>
    <w:rsid w:val="00242463"/>
    <w:rsid w:val="00242BCB"/>
    <w:rsid w:val="00242CFA"/>
    <w:rsid w:val="00243078"/>
    <w:rsid w:val="002434AD"/>
    <w:rsid w:val="00243D52"/>
    <w:rsid w:val="00245368"/>
    <w:rsid w:val="00246634"/>
    <w:rsid w:val="0025078C"/>
    <w:rsid w:val="00250A9B"/>
    <w:rsid w:val="00251280"/>
    <w:rsid w:val="002533AF"/>
    <w:rsid w:val="00253B24"/>
    <w:rsid w:val="00253F6C"/>
    <w:rsid w:val="002545DB"/>
    <w:rsid w:val="00255582"/>
    <w:rsid w:val="00255698"/>
    <w:rsid w:val="00256971"/>
    <w:rsid w:val="00257AA9"/>
    <w:rsid w:val="00257B38"/>
    <w:rsid w:val="00260E3F"/>
    <w:rsid w:val="00261964"/>
    <w:rsid w:val="0026307B"/>
    <w:rsid w:val="002646C2"/>
    <w:rsid w:val="00265A68"/>
    <w:rsid w:val="00267141"/>
    <w:rsid w:val="00267F28"/>
    <w:rsid w:val="00270506"/>
    <w:rsid w:val="0027155A"/>
    <w:rsid w:val="0027179E"/>
    <w:rsid w:val="002719CF"/>
    <w:rsid w:val="0027299F"/>
    <w:rsid w:val="00272FC4"/>
    <w:rsid w:val="00273AA8"/>
    <w:rsid w:val="002744D1"/>
    <w:rsid w:val="00275138"/>
    <w:rsid w:val="0027606C"/>
    <w:rsid w:val="0027687F"/>
    <w:rsid w:val="00281D03"/>
    <w:rsid w:val="00283224"/>
    <w:rsid w:val="00283F3F"/>
    <w:rsid w:val="00284848"/>
    <w:rsid w:val="00290005"/>
    <w:rsid w:val="00290190"/>
    <w:rsid w:val="002906F3"/>
    <w:rsid w:val="002910CE"/>
    <w:rsid w:val="0029113B"/>
    <w:rsid w:val="00292540"/>
    <w:rsid w:val="00293C54"/>
    <w:rsid w:val="002959BE"/>
    <w:rsid w:val="002961FC"/>
    <w:rsid w:val="0029633A"/>
    <w:rsid w:val="00296AE5"/>
    <w:rsid w:val="002A08E0"/>
    <w:rsid w:val="002A10F8"/>
    <w:rsid w:val="002A2E3A"/>
    <w:rsid w:val="002A2F4A"/>
    <w:rsid w:val="002A37E1"/>
    <w:rsid w:val="002A4762"/>
    <w:rsid w:val="002A5591"/>
    <w:rsid w:val="002A64F0"/>
    <w:rsid w:val="002A65EA"/>
    <w:rsid w:val="002A7300"/>
    <w:rsid w:val="002A7CE2"/>
    <w:rsid w:val="002B04F0"/>
    <w:rsid w:val="002B116A"/>
    <w:rsid w:val="002B2260"/>
    <w:rsid w:val="002B50CD"/>
    <w:rsid w:val="002B51FB"/>
    <w:rsid w:val="002B5E30"/>
    <w:rsid w:val="002B6250"/>
    <w:rsid w:val="002B7459"/>
    <w:rsid w:val="002B7DD6"/>
    <w:rsid w:val="002C08A4"/>
    <w:rsid w:val="002C117E"/>
    <w:rsid w:val="002C25F8"/>
    <w:rsid w:val="002C4A13"/>
    <w:rsid w:val="002C4FF8"/>
    <w:rsid w:val="002C76FA"/>
    <w:rsid w:val="002C794A"/>
    <w:rsid w:val="002D0FAC"/>
    <w:rsid w:val="002D20E7"/>
    <w:rsid w:val="002D22D4"/>
    <w:rsid w:val="002D2414"/>
    <w:rsid w:val="002D4133"/>
    <w:rsid w:val="002D4DB5"/>
    <w:rsid w:val="002E10FA"/>
    <w:rsid w:val="002E26A8"/>
    <w:rsid w:val="002E2AB0"/>
    <w:rsid w:val="002E2EEF"/>
    <w:rsid w:val="002E5926"/>
    <w:rsid w:val="002E5B8E"/>
    <w:rsid w:val="002E79C6"/>
    <w:rsid w:val="002F0C87"/>
    <w:rsid w:val="002F1225"/>
    <w:rsid w:val="002F15FA"/>
    <w:rsid w:val="002F167E"/>
    <w:rsid w:val="002F1A83"/>
    <w:rsid w:val="002F1BEB"/>
    <w:rsid w:val="002F2609"/>
    <w:rsid w:val="002F3771"/>
    <w:rsid w:val="002F3F0A"/>
    <w:rsid w:val="002F4302"/>
    <w:rsid w:val="002F52A8"/>
    <w:rsid w:val="002F5F96"/>
    <w:rsid w:val="002F67F9"/>
    <w:rsid w:val="002F6D2B"/>
    <w:rsid w:val="003008D7"/>
    <w:rsid w:val="00302E48"/>
    <w:rsid w:val="00303696"/>
    <w:rsid w:val="00304104"/>
    <w:rsid w:val="003041E3"/>
    <w:rsid w:val="00304B7E"/>
    <w:rsid w:val="003058B0"/>
    <w:rsid w:val="00305A0F"/>
    <w:rsid w:val="00305AC9"/>
    <w:rsid w:val="00305D50"/>
    <w:rsid w:val="003063E3"/>
    <w:rsid w:val="003075AA"/>
    <w:rsid w:val="00307FF3"/>
    <w:rsid w:val="00310940"/>
    <w:rsid w:val="00310F3F"/>
    <w:rsid w:val="00311930"/>
    <w:rsid w:val="003161DF"/>
    <w:rsid w:val="00316358"/>
    <w:rsid w:val="003167E4"/>
    <w:rsid w:val="00316A73"/>
    <w:rsid w:val="00316F15"/>
    <w:rsid w:val="00317110"/>
    <w:rsid w:val="00317767"/>
    <w:rsid w:val="00320B20"/>
    <w:rsid w:val="0032136C"/>
    <w:rsid w:val="0032147E"/>
    <w:rsid w:val="00323264"/>
    <w:rsid w:val="00323C12"/>
    <w:rsid w:val="00323D2D"/>
    <w:rsid w:val="0032418D"/>
    <w:rsid w:val="003245DC"/>
    <w:rsid w:val="00325759"/>
    <w:rsid w:val="003268B9"/>
    <w:rsid w:val="00326E98"/>
    <w:rsid w:val="00327407"/>
    <w:rsid w:val="003274F7"/>
    <w:rsid w:val="003276B4"/>
    <w:rsid w:val="003303CB"/>
    <w:rsid w:val="00331084"/>
    <w:rsid w:val="003312F2"/>
    <w:rsid w:val="00332E19"/>
    <w:rsid w:val="00332E87"/>
    <w:rsid w:val="003335FF"/>
    <w:rsid w:val="003350E7"/>
    <w:rsid w:val="0033559E"/>
    <w:rsid w:val="00336836"/>
    <w:rsid w:val="00336D70"/>
    <w:rsid w:val="00337564"/>
    <w:rsid w:val="0033756C"/>
    <w:rsid w:val="00340BA4"/>
    <w:rsid w:val="00341348"/>
    <w:rsid w:val="00342410"/>
    <w:rsid w:val="0034293B"/>
    <w:rsid w:val="003472D9"/>
    <w:rsid w:val="0034771D"/>
    <w:rsid w:val="00351B7B"/>
    <w:rsid w:val="00351ED0"/>
    <w:rsid w:val="00353540"/>
    <w:rsid w:val="003535C1"/>
    <w:rsid w:val="003535D1"/>
    <w:rsid w:val="0035366F"/>
    <w:rsid w:val="00354130"/>
    <w:rsid w:val="0035465F"/>
    <w:rsid w:val="00355335"/>
    <w:rsid w:val="00356621"/>
    <w:rsid w:val="00357301"/>
    <w:rsid w:val="00360758"/>
    <w:rsid w:val="00363949"/>
    <w:rsid w:val="00363A59"/>
    <w:rsid w:val="00363D69"/>
    <w:rsid w:val="00364D8C"/>
    <w:rsid w:val="00364F2F"/>
    <w:rsid w:val="00365101"/>
    <w:rsid w:val="003651D0"/>
    <w:rsid w:val="00367F25"/>
    <w:rsid w:val="00370A9E"/>
    <w:rsid w:val="00372BC3"/>
    <w:rsid w:val="0037325F"/>
    <w:rsid w:val="00374025"/>
    <w:rsid w:val="003757A1"/>
    <w:rsid w:val="00377413"/>
    <w:rsid w:val="00377E9E"/>
    <w:rsid w:val="00380459"/>
    <w:rsid w:val="00381134"/>
    <w:rsid w:val="003815FC"/>
    <w:rsid w:val="003818E9"/>
    <w:rsid w:val="0038250F"/>
    <w:rsid w:val="00382D15"/>
    <w:rsid w:val="0038348F"/>
    <w:rsid w:val="00383B6F"/>
    <w:rsid w:val="00385ACD"/>
    <w:rsid w:val="00385AF1"/>
    <w:rsid w:val="00386660"/>
    <w:rsid w:val="0038779E"/>
    <w:rsid w:val="00387A18"/>
    <w:rsid w:val="00387B73"/>
    <w:rsid w:val="003904A2"/>
    <w:rsid w:val="0039094B"/>
    <w:rsid w:val="003927A2"/>
    <w:rsid w:val="00392B9E"/>
    <w:rsid w:val="00393473"/>
    <w:rsid w:val="00394E26"/>
    <w:rsid w:val="00397193"/>
    <w:rsid w:val="003976D6"/>
    <w:rsid w:val="003A14C8"/>
    <w:rsid w:val="003A1D78"/>
    <w:rsid w:val="003A2C0F"/>
    <w:rsid w:val="003A2F43"/>
    <w:rsid w:val="003A4A35"/>
    <w:rsid w:val="003B0E21"/>
    <w:rsid w:val="003B201A"/>
    <w:rsid w:val="003B2523"/>
    <w:rsid w:val="003B2761"/>
    <w:rsid w:val="003B3BAD"/>
    <w:rsid w:val="003B3D14"/>
    <w:rsid w:val="003B4750"/>
    <w:rsid w:val="003B642B"/>
    <w:rsid w:val="003B6BEA"/>
    <w:rsid w:val="003B7644"/>
    <w:rsid w:val="003B796A"/>
    <w:rsid w:val="003B7C3F"/>
    <w:rsid w:val="003C051B"/>
    <w:rsid w:val="003C1461"/>
    <w:rsid w:val="003C15D1"/>
    <w:rsid w:val="003C16BF"/>
    <w:rsid w:val="003C1959"/>
    <w:rsid w:val="003C5787"/>
    <w:rsid w:val="003C63DC"/>
    <w:rsid w:val="003D0430"/>
    <w:rsid w:val="003D0B09"/>
    <w:rsid w:val="003D112D"/>
    <w:rsid w:val="003D23DD"/>
    <w:rsid w:val="003D2BA0"/>
    <w:rsid w:val="003D2E86"/>
    <w:rsid w:val="003D38B9"/>
    <w:rsid w:val="003D53FB"/>
    <w:rsid w:val="003D5770"/>
    <w:rsid w:val="003D5C91"/>
    <w:rsid w:val="003D6A5D"/>
    <w:rsid w:val="003D6CC5"/>
    <w:rsid w:val="003E042F"/>
    <w:rsid w:val="003E0A6D"/>
    <w:rsid w:val="003E0E59"/>
    <w:rsid w:val="003E0FC0"/>
    <w:rsid w:val="003E18CF"/>
    <w:rsid w:val="003E1BE1"/>
    <w:rsid w:val="003E1DA3"/>
    <w:rsid w:val="003E2109"/>
    <w:rsid w:val="003E23FC"/>
    <w:rsid w:val="003E252C"/>
    <w:rsid w:val="003E5200"/>
    <w:rsid w:val="003E62E3"/>
    <w:rsid w:val="003E71F7"/>
    <w:rsid w:val="003E7D89"/>
    <w:rsid w:val="003F0CE4"/>
    <w:rsid w:val="003F134F"/>
    <w:rsid w:val="003F1AEA"/>
    <w:rsid w:val="003F1B71"/>
    <w:rsid w:val="003F41AE"/>
    <w:rsid w:val="003F4B22"/>
    <w:rsid w:val="003F5AF9"/>
    <w:rsid w:val="003F5FB4"/>
    <w:rsid w:val="003F672C"/>
    <w:rsid w:val="003F7D7B"/>
    <w:rsid w:val="004016EA"/>
    <w:rsid w:val="00401C62"/>
    <w:rsid w:val="00401D8A"/>
    <w:rsid w:val="0040342C"/>
    <w:rsid w:val="00403587"/>
    <w:rsid w:val="00403C93"/>
    <w:rsid w:val="00404236"/>
    <w:rsid w:val="004046FF"/>
    <w:rsid w:val="0040597A"/>
    <w:rsid w:val="00406FFF"/>
    <w:rsid w:val="0040767E"/>
    <w:rsid w:val="004077E9"/>
    <w:rsid w:val="00407FA8"/>
    <w:rsid w:val="004116C0"/>
    <w:rsid w:val="00411BC3"/>
    <w:rsid w:val="004123D9"/>
    <w:rsid w:val="00412511"/>
    <w:rsid w:val="0041363A"/>
    <w:rsid w:val="00413B48"/>
    <w:rsid w:val="00413E30"/>
    <w:rsid w:val="00413F24"/>
    <w:rsid w:val="00414EDA"/>
    <w:rsid w:val="0041512C"/>
    <w:rsid w:val="004166EA"/>
    <w:rsid w:val="004169C6"/>
    <w:rsid w:val="00417355"/>
    <w:rsid w:val="00417E8A"/>
    <w:rsid w:val="004202E1"/>
    <w:rsid w:val="0042172E"/>
    <w:rsid w:val="00421A8F"/>
    <w:rsid w:val="00421B14"/>
    <w:rsid w:val="00421BA7"/>
    <w:rsid w:val="00422A75"/>
    <w:rsid w:val="004234E7"/>
    <w:rsid w:val="00424A1E"/>
    <w:rsid w:val="00425551"/>
    <w:rsid w:val="00425967"/>
    <w:rsid w:val="00425EA6"/>
    <w:rsid w:val="004273DA"/>
    <w:rsid w:val="00427B90"/>
    <w:rsid w:val="00430505"/>
    <w:rsid w:val="00430B01"/>
    <w:rsid w:val="004321CD"/>
    <w:rsid w:val="004323F4"/>
    <w:rsid w:val="00432686"/>
    <w:rsid w:val="0043402A"/>
    <w:rsid w:val="00434818"/>
    <w:rsid w:val="00435DAA"/>
    <w:rsid w:val="004360E3"/>
    <w:rsid w:val="00437369"/>
    <w:rsid w:val="004405C8"/>
    <w:rsid w:val="0044073A"/>
    <w:rsid w:val="00440E62"/>
    <w:rsid w:val="00441481"/>
    <w:rsid w:val="00441DF2"/>
    <w:rsid w:val="004425EB"/>
    <w:rsid w:val="00444189"/>
    <w:rsid w:val="004450F3"/>
    <w:rsid w:val="004461C9"/>
    <w:rsid w:val="00446210"/>
    <w:rsid w:val="004471F1"/>
    <w:rsid w:val="004475D2"/>
    <w:rsid w:val="00447C15"/>
    <w:rsid w:val="00450891"/>
    <w:rsid w:val="004508A1"/>
    <w:rsid w:val="00451F09"/>
    <w:rsid w:val="00453D13"/>
    <w:rsid w:val="00454038"/>
    <w:rsid w:val="004554B9"/>
    <w:rsid w:val="00456458"/>
    <w:rsid w:val="00457A2C"/>
    <w:rsid w:val="004616BE"/>
    <w:rsid w:val="00463C68"/>
    <w:rsid w:val="00463EBD"/>
    <w:rsid w:val="00464AC1"/>
    <w:rsid w:val="00465895"/>
    <w:rsid w:val="00467045"/>
    <w:rsid w:val="00467EEE"/>
    <w:rsid w:val="00467F6A"/>
    <w:rsid w:val="00470AAC"/>
    <w:rsid w:val="00470C0A"/>
    <w:rsid w:val="0047124B"/>
    <w:rsid w:val="0047354A"/>
    <w:rsid w:val="004746F7"/>
    <w:rsid w:val="00475F88"/>
    <w:rsid w:val="00476415"/>
    <w:rsid w:val="0047780F"/>
    <w:rsid w:val="0048011A"/>
    <w:rsid w:val="0048073C"/>
    <w:rsid w:val="00481144"/>
    <w:rsid w:val="00481E3D"/>
    <w:rsid w:val="004828CC"/>
    <w:rsid w:val="00483A4B"/>
    <w:rsid w:val="00484F0A"/>
    <w:rsid w:val="00485A28"/>
    <w:rsid w:val="00486F47"/>
    <w:rsid w:val="00487795"/>
    <w:rsid w:val="00487D3A"/>
    <w:rsid w:val="0049059F"/>
    <w:rsid w:val="004928CD"/>
    <w:rsid w:val="00492CC0"/>
    <w:rsid w:val="00493761"/>
    <w:rsid w:val="004964ED"/>
    <w:rsid w:val="00497B8C"/>
    <w:rsid w:val="004A0BCE"/>
    <w:rsid w:val="004A28F6"/>
    <w:rsid w:val="004A296A"/>
    <w:rsid w:val="004A5468"/>
    <w:rsid w:val="004A5AE5"/>
    <w:rsid w:val="004A6139"/>
    <w:rsid w:val="004A7713"/>
    <w:rsid w:val="004A77BB"/>
    <w:rsid w:val="004A7888"/>
    <w:rsid w:val="004B0385"/>
    <w:rsid w:val="004B25DB"/>
    <w:rsid w:val="004B443D"/>
    <w:rsid w:val="004B49F2"/>
    <w:rsid w:val="004B5045"/>
    <w:rsid w:val="004B5D41"/>
    <w:rsid w:val="004B6907"/>
    <w:rsid w:val="004B6BD3"/>
    <w:rsid w:val="004C1228"/>
    <w:rsid w:val="004C12D4"/>
    <w:rsid w:val="004C1ADD"/>
    <w:rsid w:val="004C1CD7"/>
    <w:rsid w:val="004C2387"/>
    <w:rsid w:val="004C2B63"/>
    <w:rsid w:val="004C33D9"/>
    <w:rsid w:val="004C41A7"/>
    <w:rsid w:val="004C533C"/>
    <w:rsid w:val="004C58CE"/>
    <w:rsid w:val="004C5930"/>
    <w:rsid w:val="004C5A21"/>
    <w:rsid w:val="004C5EF8"/>
    <w:rsid w:val="004C66B4"/>
    <w:rsid w:val="004D00B9"/>
    <w:rsid w:val="004D154A"/>
    <w:rsid w:val="004D1CE6"/>
    <w:rsid w:val="004D2848"/>
    <w:rsid w:val="004D3695"/>
    <w:rsid w:val="004D37E0"/>
    <w:rsid w:val="004D45D9"/>
    <w:rsid w:val="004D5E4F"/>
    <w:rsid w:val="004D673E"/>
    <w:rsid w:val="004D6946"/>
    <w:rsid w:val="004D770C"/>
    <w:rsid w:val="004E1FEC"/>
    <w:rsid w:val="004E35EF"/>
    <w:rsid w:val="004E3756"/>
    <w:rsid w:val="004E3844"/>
    <w:rsid w:val="004E3FF7"/>
    <w:rsid w:val="004E4960"/>
    <w:rsid w:val="004E4EC9"/>
    <w:rsid w:val="004F069A"/>
    <w:rsid w:val="004F1337"/>
    <w:rsid w:val="004F227A"/>
    <w:rsid w:val="004F3B10"/>
    <w:rsid w:val="004F42A7"/>
    <w:rsid w:val="004F439C"/>
    <w:rsid w:val="004F4F5C"/>
    <w:rsid w:val="004F5079"/>
    <w:rsid w:val="004F5227"/>
    <w:rsid w:val="005005D8"/>
    <w:rsid w:val="00501549"/>
    <w:rsid w:val="005026CB"/>
    <w:rsid w:val="00502DF3"/>
    <w:rsid w:val="005035CE"/>
    <w:rsid w:val="005037DF"/>
    <w:rsid w:val="005065FC"/>
    <w:rsid w:val="005066A8"/>
    <w:rsid w:val="00506EE8"/>
    <w:rsid w:val="00507C56"/>
    <w:rsid w:val="00510ECB"/>
    <w:rsid w:val="00512210"/>
    <w:rsid w:val="0051413C"/>
    <w:rsid w:val="00516433"/>
    <w:rsid w:val="00516DA2"/>
    <w:rsid w:val="00516DF1"/>
    <w:rsid w:val="00520855"/>
    <w:rsid w:val="00521035"/>
    <w:rsid w:val="005217E3"/>
    <w:rsid w:val="00521DB5"/>
    <w:rsid w:val="00523532"/>
    <w:rsid w:val="005235D1"/>
    <w:rsid w:val="005245DA"/>
    <w:rsid w:val="00524C68"/>
    <w:rsid w:val="00524F16"/>
    <w:rsid w:val="00525A22"/>
    <w:rsid w:val="005265AA"/>
    <w:rsid w:val="00527AC2"/>
    <w:rsid w:val="0053028B"/>
    <w:rsid w:val="00531929"/>
    <w:rsid w:val="00531C14"/>
    <w:rsid w:val="00532D3E"/>
    <w:rsid w:val="005334B2"/>
    <w:rsid w:val="00533A70"/>
    <w:rsid w:val="005343B2"/>
    <w:rsid w:val="00535024"/>
    <w:rsid w:val="00536018"/>
    <w:rsid w:val="00536786"/>
    <w:rsid w:val="00536A87"/>
    <w:rsid w:val="005377B3"/>
    <w:rsid w:val="005413E4"/>
    <w:rsid w:val="0054292F"/>
    <w:rsid w:val="00542FDB"/>
    <w:rsid w:val="00543F0F"/>
    <w:rsid w:val="00545F25"/>
    <w:rsid w:val="00546F97"/>
    <w:rsid w:val="00547830"/>
    <w:rsid w:val="00547E3C"/>
    <w:rsid w:val="0055036F"/>
    <w:rsid w:val="00551759"/>
    <w:rsid w:val="005522DF"/>
    <w:rsid w:val="005538BD"/>
    <w:rsid w:val="00553D93"/>
    <w:rsid w:val="0055460F"/>
    <w:rsid w:val="00554D3F"/>
    <w:rsid w:val="00555B17"/>
    <w:rsid w:val="005561BB"/>
    <w:rsid w:val="00556BEF"/>
    <w:rsid w:val="00556DCA"/>
    <w:rsid w:val="00557615"/>
    <w:rsid w:val="00557DC8"/>
    <w:rsid w:val="005609E5"/>
    <w:rsid w:val="005615AC"/>
    <w:rsid w:val="0056203F"/>
    <w:rsid w:val="005623BF"/>
    <w:rsid w:val="00562BC5"/>
    <w:rsid w:val="005632FD"/>
    <w:rsid w:val="005640F8"/>
    <w:rsid w:val="00564188"/>
    <w:rsid w:val="0056785A"/>
    <w:rsid w:val="005712F3"/>
    <w:rsid w:val="00571C10"/>
    <w:rsid w:val="00573838"/>
    <w:rsid w:val="00573932"/>
    <w:rsid w:val="00574063"/>
    <w:rsid w:val="005748BB"/>
    <w:rsid w:val="005757D5"/>
    <w:rsid w:val="00575FD9"/>
    <w:rsid w:val="005776E1"/>
    <w:rsid w:val="00577C02"/>
    <w:rsid w:val="00577D88"/>
    <w:rsid w:val="00577F63"/>
    <w:rsid w:val="00580101"/>
    <w:rsid w:val="00581A8A"/>
    <w:rsid w:val="00581E71"/>
    <w:rsid w:val="0058236D"/>
    <w:rsid w:val="00582C83"/>
    <w:rsid w:val="00583EE2"/>
    <w:rsid w:val="00584B8C"/>
    <w:rsid w:val="00584EDD"/>
    <w:rsid w:val="00585086"/>
    <w:rsid w:val="0058586A"/>
    <w:rsid w:val="00585A48"/>
    <w:rsid w:val="005860C7"/>
    <w:rsid w:val="005863D5"/>
    <w:rsid w:val="00586C17"/>
    <w:rsid w:val="0058737B"/>
    <w:rsid w:val="005878FB"/>
    <w:rsid w:val="0059008C"/>
    <w:rsid w:val="00590EDE"/>
    <w:rsid w:val="005913AE"/>
    <w:rsid w:val="00591D45"/>
    <w:rsid w:val="00592790"/>
    <w:rsid w:val="0059350D"/>
    <w:rsid w:val="00593DD1"/>
    <w:rsid w:val="00594529"/>
    <w:rsid w:val="00595125"/>
    <w:rsid w:val="00597299"/>
    <w:rsid w:val="0059799F"/>
    <w:rsid w:val="00597B7F"/>
    <w:rsid w:val="005A1B42"/>
    <w:rsid w:val="005A217B"/>
    <w:rsid w:val="005A4594"/>
    <w:rsid w:val="005A47C8"/>
    <w:rsid w:val="005A6045"/>
    <w:rsid w:val="005A6389"/>
    <w:rsid w:val="005A670F"/>
    <w:rsid w:val="005A7BB6"/>
    <w:rsid w:val="005B2EF7"/>
    <w:rsid w:val="005B3676"/>
    <w:rsid w:val="005B399B"/>
    <w:rsid w:val="005B39CD"/>
    <w:rsid w:val="005B5998"/>
    <w:rsid w:val="005B6A8B"/>
    <w:rsid w:val="005B7EC6"/>
    <w:rsid w:val="005C0F9E"/>
    <w:rsid w:val="005C22E3"/>
    <w:rsid w:val="005C26D2"/>
    <w:rsid w:val="005C5E53"/>
    <w:rsid w:val="005C5FF9"/>
    <w:rsid w:val="005C6AB1"/>
    <w:rsid w:val="005D0B0A"/>
    <w:rsid w:val="005D297F"/>
    <w:rsid w:val="005D2F34"/>
    <w:rsid w:val="005D462C"/>
    <w:rsid w:val="005D4C11"/>
    <w:rsid w:val="005D56FC"/>
    <w:rsid w:val="005D6070"/>
    <w:rsid w:val="005E0445"/>
    <w:rsid w:val="005E19DD"/>
    <w:rsid w:val="005E2460"/>
    <w:rsid w:val="005E34EF"/>
    <w:rsid w:val="005E3581"/>
    <w:rsid w:val="005E4166"/>
    <w:rsid w:val="005E42CC"/>
    <w:rsid w:val="005E448B"/>
    <w:rsid w:val="005E4577"/>
    <w:rsid w:val="005E4578"/>
    <w:rsid w:val="005E4D84"/>
    <w:rsid w:val="005E65BB"/>
    <w:rsid w:val="005E6AC2"/>
    <w:rsid w:val="005E7531"/>
    <w:rsid w:val="005F075E"/>
    <w:rsid w:val="005F09EA"/>
    <w:rsid w:val="005F3113"/>
    <w:rsid w:val="005F34ED"/>
    <w:rsid w:val="005F3F82"/>
    <w:rsid w:val="005F46F3"/>
    <w:rsid w:val="005F4B45"/>
    <w:rsid w:val="005F5E53"/>
    <w:rsid w:val="005F6D12"/>
    <w:rsid w:val="00600575"/>
    <w:rsid w:val="00601806"/>
    <w:rsid w:val="00604C86"/>
    <w:rsid w:val="006078A9"/>
    <w:rsid w:val="00607D4D"/>
    <w:rsid w:val="006103E3"/>
    <w:rsid w:val="00610A01"/>
    <w:rsid w:val="00610C59"/>
    <w:rsid w:val="00610E82"/>
    <w:rsid w:val="00611820"/>
    <w:rsid w:val="00611A83"/>
    <w:rsid w:val="006144DB"/>
    <w:rsid w:val="00614C43"/>
    <w:rsid w:val="00614EAD"/>
    <w:rsid w:val="00620357"/>
    <w:rsid w:val="00620BF1"/>
    <w:rsid w:val="00621703"/>
    <w:rsid w:val="00621E7A"/>
    <w:rsid w:val="00622482"/>
    <w:rsid w:val="00623D29"/>
    <w:rsid w:val="006246DE"/>
    <w:rsid w:val="00625E25"/>
    <w:rsid w:val="00626BE9"/>
    <w:rsid w:val="0062723C"/>
    <w:rsid w:val="006300BC"/>
    <w:rsid w:val="00633663"/>
    <w:rsid w:val="00633DCC"/>
    <w:rsid w:val="00633F76"/>
    <w:rsid w:val="006345E2"/>
    <w:rsid w:val="0063478B"/>
    <w:rsid w:val="00634906"/>
    <w:rsid w:val="0063511C"/>
    <w:rsid w:val="006354D5"/>
    <w:rsid w:val="0063552C"/>
    <w:rsid w:val="00637403"/>
    <w:rsid w:val="00640BAE"/>
    <w:rsid w:val="006418F5"/>
    <w:rsid w:val="00641A05"/>
    <w:rsid w:val="00641E7E"/>
    <w:rsid w:val="00644A5B"/>
    <w:rsid w:val="006455FF"/>
    <w:rsid w:val="0064598C"/>
    <w:rsid w:val="00646645"/>
    <w:rsid w:val="00646D80"/>
    <w:rsid w:val="00647671"/>
    <w:rsid w:val="0065206B"/>
    <w:rsid w:val="00652F1D"/>
    <w:rsid w:val="00656B1F"/>
    <w:rsid w:val="00657DB0"/>
    <w:rsid w:val="00660022"/>
    <w:rsid w:val="006612E0"/>
    <w:rsid w:val="006618CD"/>
    <w:rsid w:val="00661E07"/>
    <w:rsid w:val="006630B1"/>
    <w:rsid w:val="00663D6B"/>
    <w:rsid w:val="00665139"/>
    <w:rsid w:val="0066605D"/>
    <w:rsid w:val="00666EE2"/>
    <w:rsid w:val="0066718B"/>
    <w:rsid w:val="006675C3"/>
    <w:rsid w:val="00670757"/>
    <w:rsid w:val="00670FBC"/>
    <w:rsid w:val="006711A2"/>
    <w:rsid w:val="00672552"/>
    <w:rsid w:val="00673316"/>
    <w:rsid w:val="00673C35"/>
    <w:rsid w:val="00674A0B"/>
    <w:rsid w:val="0067516F"/>
    <w:rsid w:val="00677A83"/>
    <w:rsid w:val="00682223"/>
    <w:rsid w:val="00682BD1"/>
    <w:rsid w:val="00683B34"/>
    <w:rsid w:val="00683FE5"/>
    <w:rsid w:val="00684058"/>
    <w:rsid w:val="00684684"/>
    <w:rsid w:val="00684F1B"/>
    <w:rsid w:val="00685D96"/>
    <w:rsid w:val="006866C5"/>
    <w:rsid w:val="00686915"/>
    <w:rsid w:val="00686C4A"/>
    <w:rsid w:val="00690FFC"/>
    <w:rsid w:val="00691370"/>
    <w:rsid w:val="00691948"/>
    <w:rsid w:val="00691FEA"/>
    <w:rsid w:val="00692EB1"/>
    <w:rsid w:val="00694405"/>
    <w:rsid w:val="006949EB"/>
    <w:rsid w:val="00697968"/>
    <w:rsid w:val="006A06E3"/>
    <w:rsid w:val="006A0D67"/>
    <w:rsid w:val="006A0E4F"/>
    <w:rsid w:val="006A18EF"/>
    <w:rsid w:val="006A198A"/>
    <w:rsid w:val="006A292B"/>
    <w:rsid w:val="006A2CDC"/>
    <w:rsid w:val="006A6DE4"/>
    <w:rsid w:val="006B006C"/>
    <w:rsid w:val="006B056B"/>
    <w:rsid w:val="006B124E"/>
    <w:rsid w:val="006B279C"/>
    <w:rsid w:val="006B27A4"/>
    <w:rsid w:val="006B325C"/>
    <w:rsid w:val="006B5CDD"/>
    <w:rsid w:val="006B61BD"/>
    <w:rsid w:val="006B653F"/>
    <w:rsid w:val="006C00F8"/>
    <w:rsid w:val="006C10AE"/>
    <w:rsid w:val="006C144D"/>
    <w:rsid w:val="006C19FD"/>
    <w:rsid w:val="006C22C6"/>
    <w:rsid w:val="006C2472"/>
    <w:rsid w:val="006C24EE"/>
    <w:rsid w:val="006C2669"/>
    <w:rsid w:val="006C3A0B"/>
    <w:rsid w:val="006C3CF2"/>
    <w:rsid w:val="006C4742"/>
    <w:rsid w:val="006C6517"/>
    <w:rsid w:val="006C6539"/>
    <w:rsid w:val="006C6EA9"/>
    <w:rsid w:val="006D07D8"/>
    <w:rsid w:val="006D1126"/>
    <w:rsid w:val="006D1B2D"/>
    <w:rsid w:val="006D2F97"/>
    <w:rsid w:val="006D372C"/>
    <w:rsid w:val="006D4189"/>
    <w:rsid w:val="006D4529"/>
    <w:rsid w:val="006D6361"/>
    <w:rsid w:val="006D6670"/>
    <w:rsid w:val="006D684C"/>
    <w:rsid w:val="006D6FE7"/>
    <w:rsid w:val="006D7A8C"/>
    <w:rsid w:val="006E1470"/>
    <w:rsid w:val="006E247B"/>
    <w:rsid w:val="006E30AD"/>
    <w:rsid w:val="006E3ECF"/>
    <w:rsid w:val="006E43C8"/>
    <w:rsid w:val="006E53FF"/>
    <w:rsid w:val="006E767D"/>
    <w:rsid w:val="006E7819"/>
    <w:rsid w:val="006E784F"/>
    <w:rsid w:val="006E7A11"/>
    <w:rsid w:val="006F0710"/>
    <w:rsid w:val="006F224C"/>
    <w:rsid w:val="006F386F"/>
    <w:rsid w:val="006F3997"/>
    <w:rsid w:val="006F40B6"/>
    <w:rsid w:val="006F4676"/>
    <w:rsid w:val="006F4A7E"/>
    <w:rsid w:val="006F50EF"/>
    <w:rsid w:val="006F53E7"/>
    <w:rsid w:val="0070187A"/>
    <w:rsid w:val="00702F01"/>
    <w:rsid w:val="00703899"/>
    <w:rsid w:val="00703B6B"/>
    <w:rsid w:val="00703BF5"/>
    <w:rsid w:val="00704606"/>
    <w:rsid w:val="0070470A"/>
    <w:rsid w:val="007053C8"/>
    <w:rsid w:val="00705523"/>
    <w:rsid w:val="00705968"/>
    <w:rsid w:val="00705D1F"/>
    <w:rsid w:val="00706401"/>
    <w:rsid w:val="007065B4"/>
    <w:rsid w:val="0070680E"/>
    <w:rsid w:val="00706C06"/>
    <w:rsid w:val="00706F22"/>
    <w:rsid w:val="00707072"/>
    <w:rsid w:val="00710270"/>
    <w:rsid w:val="007104DE"/>
    <w:rsid w:val="00710AC5"/>
    <w:rsid w:val="00711408"/>
    <w:rsid w:val="00711469"/>
    <w:rsid w:val="00711F92"/>
    <w:rsid w:val="0071322E"/>
    <w:rsid w:val="00713CFB"/>
    <w:rsid w:val="0071460B"/>
    <w:rsid w:val="007158BF"/>
    <w:rsid w:val="00715BCA"/>
    <w:rsid w:val="00720A2A"/>
    <w:rsid w:val="00721A5D"/>
    <w:rsid w:val="00722829"/>
    <w:rsid w:val="00723190"/>
    <w:rsid w:val="00724D76"/>
    <w:rsid w:val="00725575"/>
    <w:rsid w:val="00725883"/>
    <w:rsid w:val="00732E11"/>
    <w:rsid w:val="007333B1"/>
    <w:rsid w:val="00736803"/>
    <w:rsid w:val="007368AD"/>
    <w:rsid w:val="00737659"/>
    <w:rsid w:val="00737E98"/>
    <w:rsid w:val="0074183C"/>
    <w:rsid w:val="00742103"/>
    <w:rsid w:val="007425C9"/>
    <w:rsid w:val="00744253"/>
    <w:rsid w:val="0074498C"/>
    <w:rsid w:val="007511A9"/>
    <w:rsid w:val="007520D6"/>
    <w:rsid w:val="00752765"/>
    <w:rsid w:val="0075446A"/>
    <w:rsid w:val="00755399"/>
    <w:rsid w:val="00755B90"/>
    <w:rsid w:val="00756687"/>
    <w:rsid w:val="00756A3D"/>
    <w:rsid w:val="00756E40"/>
    <w:rsid w:val="0075712E"/>
    <w:rsid w:val="00760B0E"/>
    <w:rsid w:val="007610A6"/>
    <w:rsid w:val="00763224"/>
    <w:rsid w:val="00763290"/>
    <w:rsid w:val="007632FB"/>
    <w:rsid w:val="007635E4"/>
    <w:rsid w:val="00763BBC"/>
    <w:rsid w:val="007646BC"/>
    <w:rsid w:val="0076747E"/>
    <w:rsid w:val="0076777D"/>
    <w:rsid w:val="00767A20"/>
    <w:rsid w:val="0077009B"/>
    <w:rsid w:val="00770E82"/>
    <w:rsid w:val="007718B0"/>
    <w:rsid w:val="00771B46"/>
    <w:rsid w:val="00772B6F"/>
    <w:rsid w:val="00773B93"/>
    <w:rsid w:val="00773EC4"/>
    <w:rsid w:val="0077416D"/>
    <w:rsid w:val="00774BD4"/>
    <w:rsid w:val="00782C8A"/>
    <w:rsid w:val="007837AF"/>
    <w:rsid w:val="00784185"/>
    <w:rsid w:val="0078508E"/>
    <w:rsid w:val="00785952"/>
    <w:rsid w:val="00786306"/>
    <w:rsid w:val="00787143"/>
    <w:rsid w:val="0079197D"/>
    <w:rsid w:val="00791BB1"/>
    <w:rsid w:val="007937E9"/>
    <w:rsid w:val="007942AE"/>
    <w:rsid w:val="00794399"/>
    <w:rsid w:val="00794417"/>
    <w:rsid w:val="00794C92"/>
    <w:rsid w:val="00794F45"/>
    <w:rsid w:val="00795012"/>
    <w:rsid w:val="00795E58"/>
    <w:rsid w:val="007A166E"/>
    <w:rsid w:val="007A2B97"/>
    <w:rsid w:val="007A2BF6"/>
    <w:rsid w:val="007A39F0"/>
    <w:rsid w:val="007A4014"/>
    <w:rsid w:val="007A40AA"/>
    <w:rsid w:val="007A4D59"/>
    <w:rsid w:val="007A52B6"/>
    <w:rsid w:val="007A5E13"/>
    <w:rsid w:val="007A5FF9"/>
    <w:rsid w:val="007A75D8"/>
    <w:rsid w:val="007A7810"/>
    <w:rsid w:val="007A7D2D"/>
    <w:rsid w:val="007B0035"/>
    <w:rsid w:val="007B224D"/>
    <w:rsid w:val="007B2572"/>
    <w:rsid w:val="007B353A"/>
    <w:rsid w:val="007B4D44"/>
    <w:rsid w:val="007B5070"/>
    <w:rsid w:val="007B567C"/>
    <w:rsid w:val="007B70E8"/>
    <w:rsid w:val="007B7685"/>
    <w:rsid w:val="007B7C2E"/>
    <w:rsid w:val="007C0C51"/>
    <w:rsid w:val="007C0D2B"/>
    <w:rsid w:val="007C3439"/>
    <w:rsid w:val="007C381E"/>
    <w:rsid w:val="007C3AF2"/>
    <w:rsid w:val="007C4E55"/>
    <w:rsid w:val="007C6860"/>
    <w:rsid w:val="007C747D"/>
    <w:rsid w:val="007D0AE2"/>
    <w:rsid w:val="007D1022"/>
    <w:rsid w:val="007D28BC"/>
    <w:rsid w:val="007D2DD1"/>
    <w:rsid w:val="007D2F83"/>
    <w:rsid w:val="007D3478"/>
    <w:rsid w:val="007D3F2F"/>
    <w:rsid w:val="007D4603"/>
    <w:rsid w:val="007D4818"/>
    <w:rsid w:val="007D55C7"/>
    <w:rsid w:val="007D61F3"/>
    <w:rsid w:val="007D6707"/>
    <w:rsid w:val="007D6905"/>
    <w:rsid w:val="007D74E3"/>
    <w:rsid w:val="007E122F"/>
    <w:rsid w:val="007E2467"/>
    <w:rsid w:val="007E2CC5"/>
    <w:rsid w:val="007E2F6E"/>
    <w:rsid w:val="007E3C93"/>
    <w:rsid w:val="007E4870"/>
    <w:rsid w:val="007E5289"/>
    <w:rsid w:val="007E6148"/>
    <w:rsid w:val="007E6EB5"/>
    <w:rsid w:val="007E71E1"/>
    <w:rsid w:val="007F097B"/>
    <w:rsid w:val="007F0E4B"/>
    <w:rsid w:val="007F153C"/>
    <w:rsid w:val="007F1B0D"/>
    <w:rsid w:val="007F21FA"/>
    <w:rsid w:val="007F39EB"/>
    <w:rsid w:val="007F643C"/>
    <w:rsid w:val="007F6ACA"/>
    <w:rsid w:val="00800B19"/>
    <w:rsid w:val="008021A2"/>
    <w:rsid w:val="0080464C"/>
    <w:rsid w:val="00804A61"/>
    <w:rsid w:val="00804ED8"/>
    <w:rsid w:val="00805361"/>
    <w:rsid w:val="00805DE4"/>
    <w:rsid w:val="008064B2"/>
    <w:rsid w:val="00806909"/>
    <w:rsid w:val="00806C43"/>
    <w:rsid w:val="00807201"/>
    <w:rsid w:val="00807D3E"/>
    <w:rsid w:val="00810987"/>
    <w:rsid w:val="008131DA"/>
    <w:rsid w:val="0081378B"/>
    <w:rsid w:val="008153A8"/>
    <w:rsid w:val="00815A71"/>
    <w:rsid w:val="00817A45"/>
    <w:rsid w:val="00817D91"/>
    <w:rsid w:val="00820329"/>
    <w:rsid w:val="00820A44"/>
    <w:rsid w:val="008236FD"/>
    <w:rsid w:val="0082405E"/>
    <w:rsid w:val="00825157"/>
    <w:rsid w:val="008251F0"/>
    <w:rsid w:val="00825256"/>
    <w:rsid w:val="00825777"/>
    <w:rsid w:val="0083065C"/>
    <w:rsid w:val="008309DD"/>
    <w:rsid w:val="00830CDD"/>
    <w:rsid w:val="00831A42"/>
    <w:rsid w:val="00831A89"/>
    <w:rsid w:val="00831E56"/>
    <w:rsid w:val="0083529B"/>
    <w:rsid w:val="0083559C"/>
    <w:rsid w:val="00835DAF"/>
    <w:rsid w:val="0083637D"/>
    <w:rsid w:val="00837A9B"/>
    <w:rsid w:val="00841791"/>
    <w:rsid w:val="00842BB0"/>
    <w:rsid w:val="00842E83"/>
    <w:rsid w:val="008432F5"/>
    <w:rsid w:val="008433BD"/>
    <w:rsid w:val="008445F0"/>
    <w:rsid w:val="008460B8"/>
    <w:rsid w:val="00847B08"/>
    <w:rsid w:val="00850030"/>
    <w:rsid w:val="00850D49"/>
    <w:rsid w:val="00851269"/>
    <w:rsid w:val="00851E43"/>
    <w:rsid w:val="008526FA"/>
    <w:rsid w:val="00852F4B"/>
    <w:rsid w:val="0085326F"/>
    <w:rsid w:val="008536F9"/>
    <w:rsid w:val="00853E61"/>
    <w:rsid w:val="008549F3"/>
    <w:rsid w:val="00855935"/>
    <w:rsid w:val="00860231"/>
    <w:rsid w:val="008604FE"/>
    <w:rsid w:val="00865390"/>
    <w:rsid w:val="008675C3"/>
    <w:rsid w:val="00867631"/>
    <w:rsid w:val="00867D44"/>
    <w:rsid w:val="008708CD"/>
    <w:rsid w:val="008717F1"/>
    <w:rsid w:val="00872A67"/>
    <w:rsid w:val="00874986"/>
    <w:rsid w:val="00874A58"/>
    <w:rsid w:val="00874ECD"/>
    <w:rsid w:val="00876DF8"/>
    <w:rsid w:val="008774F9"/>
    <w:rsid w:val="00877D90"/>
    <w:rsid w:val="0088054E"/>
    <w:rsid w:val="008807DD"/>
    <w:rsid w:val="008839B5"/>
    <w:rsid w:val="0088523B"/>
    <w:rsid w:val="0088665E"/>
    <w:rsid w:val="008868E9"/>
    <w:rsid w:val="00890D9E"/>
    <w:rsid w:val="008915E8"/>
    <w:rsid w:val="00891A7E"/>
    <w:rsid w:val="0089217E"/>
    <w:rsid w:val="00893533"/>
    <w:rsid w:val="00893A82"/>
    <w:rsid w:val="008943D7"/>
    <w:rsid w:val="00894661"/>
    <w:rsid w:val="008962DF"/>
    <w:rsid w:val="00896D00"/>
    <w:rsid w:val="00897F6E"/>
    <w:rsid w:val="008A0641"/>
    <w:rsid w:val="008A1B9F"/>
    <w:rsid w:val="008A2643"/>
    <w:rsid w:val="008A4214"/>
    <w:rsid w:val="008A5022"/>
    <w:rsid w:val="008A5EF8"/>
    <w:rsid w:val="008A602A"/>
    <w:rsid w:val="008B38CA"/>
    <w:rsid w:val="008B463D"/>
    <w:rsid w:val="008B4A18"/>
    <w:rsid w:val="008B6402"/>
    <w:rsid w:val="008B6456"/>
    <w:rsid w:val="008B6B1D"/>
    <w:rsid w:val="008B79D2"/>
    <w:rsid w:val="008C0098"/>
    <w:rsid w:val="008C0D74"/>
    <w:rsid w:val="008C226E"/>
    <w:rsid w:val="008C4E4B"/>
    <w:rsid w:val="008C551B"/>
    <w:rsid w:val="008C6A85"/>
    <w:rsid w:val="008C7241"/>
    <w:rsid w:val="008C7C85"/>
    <w:rsid w:val="008D0033"/>
    <w:rsid w:val="008D118F"/>
    <w:rsid w:val="008D2BE9"/>
    <w:rsid w:val="008D2FF5"/>
    <w:rsid w:val="008D380F"/>
    <w:rsid w:val="008D3F82"/>
    <w:rsid w:val="008D42A8"/>
    <w:rsid w:val="008D4673"/>
    <w:rsid w:val="008D5F0B"/>
    <w:rsid w:val="008D6360"/>
    <w:rsid w:val="008D68AF"/>
    <w:rsid w:val="008D6AF7"/>
    <w:rsid w:val="008D6F31"/>
    <w:rsid w:val="008D7F60"/>
    <w:rsid w:val="008E0133"/>
    <w:rsid w:val="008E0621"/>
    <w:rsid w:val="008E0641"/>
    <w:rsid w:val="008E0827"/>
    <w:rsid w:val="008E15A4"/>
    <w:rsid w:val="008E3C64"/>
    <w:rsid w:val="008E4919"/>
    <w:rsid w:val="008E5BDB"/>
    <w:rsid w:val="008E632D"/>
    <w:rsid w:val="008E6F7D"/>
    <w:rsid w:val="008E782D"/>
    <w:rsid w:val="008F1273"/>
    <w:rsid w:val="008F4B16"/>
    <w:rsid w:val="008F4B2E"/>
    <w:rsid w:val="008F4EAF"/>
    <w:rsid w:val="008F5910"/>
    <w:rsid w:val="00900BE1"/>
    <w:rsid w:val="00900FDE"/>
    <w:rsid w:val="009012C2"/>
    <w:rsid w:val="00902652"/>
    <w:rsid w:val="00903025"/>
    <w:rsid w:val="00903583"/>
    <w:rsid w:val="00904043"/>
    <w:rsid w:val="00904987"/>
    <w:rsid w:val="009052C1"/>
    <w:rsid w:val="00910165"/>
    <w:rsid w:val="0091296D"/>
    <w:rsid w:val="00912ECB"/>
    <w:rsid w:val="00913EBA"/>
    <w:rsid w:val="009149D7"/>
    <w:rsid w:val="00914F01"/>
    <w:rsid w:val="00914FA8"/>
    <w:rsid w:val="00915080"/>
    <w:rsid w:val="00915F08"/>
    <w:rsid w:val="00916564"/>
    <w:rsid w:val="00917AC8"/>
    <w:rsid w:val="009200AF"/>
    <w:rsid w:val="00920391"/>
    <w:rsid w:val="00920633"/>
    <w:rsid w:val="0092103D"/>
    <w:rsid w:val="00921919"/>
    <w:rsid w:val="009231CC"/>
    <w:rsid w:val="0092441B"/>
    <w:rsid w:val="00924D5E"/>
    <w:rsid w:val="009254FC"/>
    <w:rsid w:val="009261D7"/>
    <w:rsid w:val="00926240"/>
    <w:rsid w:val="009278F7"/>
    <w:rsid w:val="00927B7C"/>
    <w:rsid w:val="00927B93"/>
    <w:rsid w:val="00927BC8"/>
    <w:rsid w:val="0093247D"/>
    <w:rsid w:val="00932F86"/>
    <w:rsid w:val="00933B3C"/>
    <w:rsid w:val="0093420D"/>
    <w:rsid w:val="00935779"/>
    <w:rsid w:val="009372FF"/>
    <w:rsid w:val="009406F9"/>
    <w:rsid w:val="009409AD"/>
    <w:rsid w:val="00941D69"/>
    <w:rsid w:val="00941FFF"/>
    <w:rsid w:val="009423F2"/>
    <w:rsid w:val="00942DF4"/>
    <w:rsid w:val="009439A5"/>
    <w:rsid w:val="00943A4C"/>
    <w:rsid w:val="00943F38"/>
    <w:rsid w:val="009447DB"/>
    <w:rsid w:val="00944ED3"/>
    <w:rsid w:val="00944F54"/>
    <w:rsid w:val="0094729D"/>
    <w:rsid w:val="0094786F"/>
    <w:rsid w:val="00950112"/>
    <w:rsid w:val="0095056F"/>
    <w:rsid w:val="00951A21"/>
    <w:rsid w:val="00952B0D"/>
    <w:rsid w:val="00952CCB"/>
    <w:rsid w:val="00954382"/>
    <w:rsid w:val="009546F7"/>
    <w:rsid w:val="00954D06"/>
    <w:rsid w:val="00955999"/>
    <w:rsid w:val="00956C68"/>
    <w:rsid w:val="00960BA1"/>
    <w:rsid w:val="00961DA0"/>
    <w:rsid w:val="0096600C"/>
    <w:rsid w:val="009666A2"/>
    <w:rsid w:val="0096764C"/>
    <w:rsid w:val="009705AD"/>
    <w:rsid w:val="00970E86"/>
    <w:rsid w:val="00971584"/>
    <w:rsid w:val="00971CF6"/>
    <w:rsid w:val="00971E20"/>
    <w:rsid w:val="00972144"/>
    <w:rsid w:val="00973AF3"/>
    <w:rsid w:val="009740FB"/>
    <w:rsid w:val="00976696"/>
    <w:rsid w:val="00976FC8"/>
    <w:rsid w:val="00981133"/>
    <w:rsid w:val="00982827"/>
    <w:rsid w:val="009828C8"/>
    <w:rsid w:val="009840C6"/>
    <w:rsid w:val="0098677D"/>
    <w:rsid w:val="0099038C"/>
    <w:rsid w:val="0099077D"/>
    <w:rsid w:val="00992AE3"/>
    <w:rsid w:val="00993F25"/>
    <w:rsid w:val="009954A6"/>
    <w:rsid w:val="00995853"/>
    <w:rsid w:val="0099697F"/>
    <w:rsid w:val="00996AEA"/>
    <w:rsid w:val="0099738D"/>
    <w:rsid w:val="009A12D3"/>
    <w:rsid w:val="009A1F5F"/>
    <w:rsid w:val="009A2FCB"/>
    <w:rsid w:val="009A40FD"/>
    <w:rsid w:val="009A45DB"/>
    <w:rsid w:val="009A5C5C"/>
    <w:rsid w:val="009A5ECB"/>
    <w:rsid w:val="009A60AE"/>
    <w:rsid w:val="009A7AC9"/>
    <w:rsid w:val="009B10DA"/>
    <w:rsid w:val="009B162E"/>
    <w:rsid w:val="009B3B1C"/>
    <w:rsid w:val="009B627D"/>
    <w:rsid w:val="009B6AB6"/>
    <w:rsid w:val="009B7C7A"/>
    <w:rsid w:val="009C26E0"/>
    <w:rsid w:val="009C28D2"/>
    <w:rsid w:val="009C3855"/>
    <w:rsid w:val="009C4660"/>
    <w:rsid w:val="009C4F0E"/>
    <w:rsid w:val="009C7035"/>
    <w:rsid w:val="009D1A0C"/>
    <w:rsid w:val="009D401C"/>
    <w:rsid w:val="009D5D2D"/>
    <w:rsid w:val="009D6432"/>
    <w:rsid w:val="009D756C"/>
    <w:rsid w:val="009D7A0C"/>
    <w:rsid w:val="009E0884"/>
    <w:rsid w:val="009E0E1C"/>
    <w:rsid w:val="009E0E7D"/>
    <w:rsid w:val="009E0E7E"/>
    <w:rsid w:val="009E2440"/>
    <w:rsid w:val="009E396A"/>
    <w:rsid w:val="009E43BF"/>
    <w:rsid w:val="009E631F"/>
    <w:rsid w:val="009E72E8"/>
    <w:rsid w:val="009E79BF"/>
    <w:rsid w:val="009F003F"/>
    <w:rsid w:val="009F0E5D"/>
    <w:rsid w:val="009F1732"/>
    <w:rsid w:val="009F3F06"/>
    <w:rsid w:val="009F40C6"/>
    <w:rsid w:val="009F4B60"/>
    <w:rsid w:val="00A00000"/>
    <w:rsid w:val="00A00019"/>
    <w:rsid w:val="00A00205"/>
    <w:rsid w:val="00A00238"/>
    <w:rsid w:val="00A010F4"/>
    <w:rsid w:val="00A01322"/>
    <w:rsid w:val="00A01B4D"/>
    <w:rsid w:val="00A02F39"/>
    <w:rsid w:val="00A04314"/>
    <w:rsid w:val="00A078A6"/>
    <w:rsid w:val="00A10463"/>
    <w:rsid w:val="00A12A4A"/>
    <w:rsid w:val="00A12BFE"/>
    <w:rsid w:val="00A136D6"/>
    <w:rsid w:val="00A140C4"/>
    <w:rsid w:val="00A14E7A"/>
    <w:rsid w:val="00A16516"/>
    <w:rsid w:val="00A1660E"/>
    <w:rsid w:val="00A17BCB"/>
    <w:rsid w:val="00A20A43"/>
    <w:rsid w:val="00A20C3A"/>
    <w:rsid w:val="00A225AC"/>
    <w:rsid w:val="00A22B82"/>
    <w:rsid w:val="00A22D33"/>
    <w:rsid w:val="00A22D49"/>
    <w:rsid w:val="00A23C32"/>
    <w:rsid w:val="00A23E15"/>
    <w:rsid w:val="00A24D76"/>
    <w:rsid w:val="00A25A00"/>
    <w:rsid w:val="00A26566"/>
    <w:rsid w:val="00A30A9E"/>
    <w:rsid w:val="00A3205D"/>
    <w:rsid w:val="00A3305A"/>
    <w:rsid w:val="00A33112"/>
    <w:rsid w:val="00A335C7"/>
    <w:rsid w:val="00A337EB"/>
    <w:rsid w:val="00A3482D"/>
    <w:rsid w:val="00A34F11"/>
    <w:rsid w:val="00A4040E"/>
    <w:rsid w:val="00A4049F"/>
    <w:rsid w:val="00A42076"/>
    <w:rsid w:val="00A423A8"/>
    <w:rsid w:val="00A42BAD"/>
    <w:rsid w:val="00A431A4"/>
    <w:rsid w:val="00A44041"/>
    <w:rsid w:val="00A45471"/>
    <w:rsid w:val="00A45B17"/>
    <w:rsid w:val="00A45D73"/>
    <w:rsid w:val="00A45DC3"/>
    <w:rsid w:val="00A461EB"/>
    <w:rsid w:val="00A46AD9"/>
    <w:rsid w:val="00A51715"/>
    <w:rsid w:val="00A51F9B"/>
    <w:rsid w:val="00A5209A"/>
    <w:rsid w:val="00A539EF"/>
    <w:rsid w:val="00A54499"/>
    <w:rsid w:val="00A553E8"/>
    <w:rsid w:val="00A55B45"/>
    <w:rsid w:val="00A56BDA"/>
    <w:rsid w:val="00A574C8"/>
    <w:rsid w:val="00A608E3"/>
    <w:rsid w:val="00A616D4"/>
    <w:rsid w:val="00A6275E"/>
    <w:rsid w:val="00A6408B"/>
    <w:rsid w:val="00A64402"/>
    <w:rsid w:val="00A659FA"/>
    <w:rsid w:val="00A667F9"/>
    <w:rsid w:val="00A67322"/>
    <w:rsid w:val="00A6792D"/>
    <w:rsid w:val="00A719C8"/>
    <w:rsid w:val="00A72E5C"/>
    <w:rsid w:val="00A74479"/>
    <w:rsid w:val="00A74DC0"/>
    <w:rsid w:val="00A75190"/>
    <w:rsid w:val="00A7653A"/>
    <w:rsid w:val="00A77359"/>
    <w:rsid w:val="00A77704"/>
    <w:rsid w:val="00A779FA"/>
    <w:rsid w:val="00A8119A"/>
    <w:rsid w:val="00A8130D"/>
    <w:rsid w:val="00A853C9"/>
    <w:rsid w:val="00A86105"/>
    <w:rsid w:val="00A9139F"/>
    <w:rsid w:val="00A913BE"/>
    <w:rsid w:val="00A91F67"/>
    <w:rsid w:val="00A92439"/>
    <w:rsid w:val="00A925E6"/>
    <w:rsid w:val="00A9324D"/>
    <w:rsid w:val="00A93CA2"/>
    <w:rsid w:val="00A93EF5"/>
    <w:rsid w:val="00A941E6"/>
    <w:rsid w:val="00A9557F"/>
    <w:rsid w:val="00A95DB1"/>
    <w:rsid w:val="00A977BE"/>
    <w:rsid w:val="00AA266E"/>
    <w:rsid w:val="00AA4CFE"/>
    <w:rsid w:val="00AA50CC"/>
    <w:rsid w:val="00AA5643"/>
    <w:rsid w:val="00AA61A4"/>
    <w:rsid w:val="00AB1497"/>
    <w:rsid w:val="00AB1A5A"/>
    <w:rsid w:val="00AB1E27"/>
    <w:rsid w:val="00AB2946"/>
    <w:rsid w:val="00AB29D8"/>
    <w:rsid w:val="00AB3868"/>
    <w:rsid w:val="00AB39A2"/>
    <w:rsid w:val="00AB3CAE"/>
    <w:rsid w:val="00AB3CC1"/>
    <w:rsid w:val="00AB3EAC"/>
    <w:rsid w:val="00AB4DF5"/>
    <w:rsid w:val="00AB541A"/>
    <w:rsid w:val="00AB5C77"/>
    <w:rsid w:val="00AB68EC"/>
    <w:rsid w:val="00AB6E2F"/>
    <w:rsid w:val="00AB71EF"/>
    <w:rsid w:val="00AC1336"/>
    <w:rsid w:val="00AC282D"/>
    <w:rsid w:val="00AC57FF"/>
    <w:rsid w:val="00AC67D3"/>
    <w:rsid w:val="00AC701B"/>
    <w:rsid w:val="00AC7C28"/>
    <w:rsid w:val="00AD0C22"/>
    <w:rsid w:val="00AD1BC9"/>
    <w:rsid w:val="00AD2C20"/>
    <w:rsid w:val="00AD48FE"/>
    <w:rsid w:val="00AD4B4C"/>
    <w:rsid w:val="00AD5622"/>
    <w:rsid w:val="00AD6709"/>
    <w:rsid w:val="00AD7CDF"/>
    <w:rsid w:val="00AE0022"/>
    <w:rsid w:val="00AE23F4"/>
    <w:rsid w:val="00AE29BF"/>
    <w:rsid w:val="00AE6D20"/>
    <w:rsid w:val="00AE719E"/>
    <w:rsid w:val="00AE7851"/>
    <w:rsid w:val="00AF1749"/>
    <w:rsid w:val="00AF3427"/>
    <w:rsid w:val="00AF370E"/>
    <w:rsid w:val="00AF426B"/>
    <w:rsid w:val="00AF42F5"/>
    <w:rsid w:val="00AF44B7"/>
    <w:rsid w:val="00AF508D"/>
    <w:rsid w:val="00AF6606"/>
    <w:rsid w:val="00AF6680"/>
    <w:rsid w:val="00AF704B"/>
    <w:rsid w:val="00B0183C"/>
    <w:rsid w:val="00B02839"/>
    <w:rsid w:val="00B038C9"/>
    <w:rsid w:val="00B04888"/>
    <w:rsid w:val="00B05C7F"/>
    <w:rsid w:val="00B06F64"/>
    <w:rsid w:val="00B118BC"/>
    <w:rsid w:val="00B1368C"/>
    <w:rsid w:val="00B13AE0"/>
    <w:rsid w:val="00B13E11"/>
    <w:rsid w:val="00B15F71"/>
    <w:rsid w:val="00B16787"/>
    <w:rsid w:val="00B16834"/>
    <w:rsid w:val="00B20048"/>
    <w:rsid w:val="00B2008B"/>
    <w:rsid w:val="00B21BC3"/>
    <w:rsid w:val="00B2258D"/>
    <w:rsid w:val="00B22A97"/>
    <w:rsid w:val="00B2446D"/>
    <w:rsid w:val="00B24E0B"/>
    <w:rsid w:val="00B24E69"/>
    <w:rsid w:val="00B253AD"/>
    <w:rsid w:val="00B265DB"/>
    <w:rsid w:val="00B269BD"/>
    <w:rsid w:val="00B26EC9"/>
    <w:rsid w:val="00B278CC"/>
    <w:rsid w:val="00B30ADA"/>
    <w:rsid w:val="00B30DF4"/>
    <w:rsid w:val="00B32309"/>
    <w:rsid w:val="00B32D61"/>
    <w:rsid w:val="00B338C0"/>
    <w:rsid w:val="00B33E63"/>
    <w:rsid w:val="00B3465C"/>
    <w:rsid w:val="00B36CF6"/>
    <w:rsid w:val="00B37CEB"/>
    <w:rsid w:val="00B37CF1"/>
    <w:rsid w:val="00B41F58"/>
    <w:rsid w:val="00B42C9B"/>
    <w:rsid w:val="00B42F7E"/>
    <w:rsid w:val="00B43EE5"/>
    <w:rsid w:val="00B448E6"/>
    <w:rsid w:val="00B450E7"/>
    <w:rsid w:val="00B45258"/>
    <w:rsid w:val="00B46F55"/>
    <w:rsid w:val="00B52092"/>
    <w:rsid w:val="00B53B8A"/>
    <w:rsid w:val="00B561DB"/>
    <w:rsid w:val="00B60008"/>
    <w:rsid w:val="00B602AE"/>
    <w:rsid w:val="00B60CAC"/>
    <w:rsid w:val="00B615B7"/>
    <w:rsid w:val="00B62942"/>
    <w:rsid w:val="00B62BCD"/>
    <w:rsid w:val="00B647E6"/>
    <w:rsid w:val="00B64C81"/>
    <w:rsid w:val="00B65270"/>
    <w:rsid w:val="00B66B7C"/>
    <w:rsid w:val="00B705F2"/>
    <w:rsid w:val="00B70F95"/>
    <w:rsid w:val="00B715BE"/>
    <w:rsid w:val="00B7334E"/>
    <w:rsid w:val="00B73B97"/>
    <w:rsid w:val="00B7448A"/>
    <w:rsid w:val="00B74498"/>
    <w:rsid w:val="00B74549"/>
    <w:rsid w:val="00B75D08"/>
    <w:rsid w:val="00B766B6"/>
    <w:rsid w:val="00B76E75"/>
    <w:rsid w:val="00B76E82"/>
    <w:rsid w:val="00B76EC8"/>
    <w:rsid w:val="00B80CEB"/>
    <w:rsid w:val="00B80D5D"/>
    <w:rsid w:val="00B828D6"/>
    <w:rsid w:val="00B82F61"/>
    <w:rsid w:val="00B83F78"/>
    <w:rsid w:val="00B84327"/>
    <w:rsid w:val="00B850DA"/>
    <w:rsid w:val="00B85C4B"/>
    <w:rsid w:val="00B86642"/>
    <w:rsid w:val="00B86DBD"/>
    <w:rsid w:val="00B8798B"/>
    <w:rsid w:val="00B87A90"/>
    <w:rsid w:val="00B87B04"/>
    <w:rsid w:val="00B9020B"/>
    <w:rsid w:val="00B9373E"/>
    <w:rsid w:val="00B93DAB"/>
    <w:rsid w:val="00B94048"/>
    <w:rsid w:val="00B94DCD"/>
    <w:rsid w:val="00B95543"/>
    <w:rsid w:val="00B96845"/>
    <w:rsid w:val="00B96872"/>
    <w:rsid w:val="00B977FE"/>
    <w:rsid w:val="00BA0091"/>
    <w:rsid w:val="00BA1F94"/>
    <w:rsid w:val="00BA4B60"/>
    <w:rsid w:val="00BA7022"/>
    <w:rsid w:val="00BB16A2"/>
    <w:rsid w:val="00BB1A0E"/>
    <w:rsid w:val="00BB2D02"/>
    <w:rsid w:val="00BB370B"/>
    <w:rsid w:val="00BB47D9"/>
    <w:rsid w:val="00BB4B78"/>
    <w:rsid w:val="00BB5561"/>
    <w:rsid w:val="00BB641D"/>
    <w:rsid w:val="00BB7772"/>
    <w:rsid w:val="00BB7C2B"/>
    <w:rsid w:val="00BC0F14"/>
    <w:rsid w:val="00BC1D6E"/>
    <w:rsid w:val="00BC2A1B"/>
    <w:rsid w:val="00BC30FB"/>
    <w:rsid w:val="00BC32D3"/>
    <w:rsid w:val="00BC3829"/>
    <w:rsid w:val="00BC3AE7"/>
    <w:rsid w:val="00BC4518"/>
    <w:rsid w:val="00BC5AE0"/>
    <w:rsid w:val="00BC62F4"/>
    <w:rsid w:val="00BC6BA3"/>
    <w:rsid w:val="00BC70E2"/>
    <w:rsid w:val="00BC798F"/>
    <w:rsid w:val="00BC7F8E"/>
    <w:rsid w:val="00BD2CE1"/>
    <w:rsid w:val="00BD2F75"/>
    <w:rsid w:val="00BD4CDF"/>
    <w:rsid w:val="00BD5839"/>
    <w:rsid w:val="00BD61B8"/>
    <w:rsid w:val="00BD659F"/>
    <w:rsid w:val="00BD6DAB"/>
    <w:rsid w:val="00BE1206"/>
    <w:rsid w:val="00BE1BB9"/>
    <w:rsid w:val="00BE1CF5"/>
    <w:rsid w:val="00BE2226"/>
    <w:rsid w:val="00BE2349"/>
    <w:rsid w:val="00BE3043"/>
    <w:rsid w:val="00BE390A"/>
    <w:rsid w:val="00BE3A86"/>
    <w:rsid w:val="00BE4615"/>
    <w:rsid w:val="00BE6943"/>
    <w:rsid w:val="00BE6BDC"/>
    <w:rsid w:val="00BE6C1D"/>
    <w:rsid w:val="00BE7211"/>
    <w:rsid w:val="00BF01AF"/>
    <w:rsid w:val="00BF09C0"/>
    <w:rsid w:val="00BF0D84"/>
    <w:rsid w:val="00BF15D6"/>
    <w:rsid w:val="00BF1F33"/>
    <w:rsid w:val="00BF3866"/>
    <w:rsid w:val="00BF4755"/>
    <w:rsid w:val="00C010F4"/>
    <w:rsid w:val="00C0191A"/>
    <w:rsid w:val="00C01933"/>
    <w:rsid w:val="00C01D00"/>
    <w:rsid w:val="00C01D0A"/>
    <w:rsid w:val="00C0229B"/>
    <w:rsid w:val="00C03E4A"/>
    <w:rsid w:val="00C13FC3"/>
    <w:rsid w:val="00C14CB5"/>
    <w:rsid w:val="00C152D5"/>
    <w:rsid w:val="00C15C53"/>
    <w:rsid w:val="00C16BC9"/>
    <w:rsid w:val="00C171D3"/>
    <w:rsid w:val="00C20054"/>
    <w:rsid w:val="00C21AE9"/>
    <w:rsid w:val="00C237E6"/>
    <w:rsid w:val="00C24C4B"/>
    <w:rsid w:val="00C260A4"/>
    <w:rsid w:val="00C27C3F"/>
    <w:rsid w:val="00C32439"/>
    <w:rsid w:val="00C3285B"/>
    <w:rsid w:val="00C336DE"/>
    <w:rsid w:val="00C33C4A"/>
    <w:rsid w:val="00C35547"/>
    <w:rsid w:val="00C3620E"/>
    <w:rsid w:val="00C362D9"/>
    <w:rsid w:val="00C362E0"/>
    <w:rsid w:val="00C36435"/>
    <w:rsid w:val="00C37BD4"/>
    <w:rsid w:val="00C37C77"/>
    <w:rsid w:val="00C4128B"/>
    <w:rsid w:val="00C43093"/>
    <w:rsid w:val="00C43A1F"/>
    <w:rsid w:val="00C447E4"/>
    <w:rsid w:val="00C449E2"/>
    <w:rsid w:val="00C4681A"/>
    <w:rsid w:val="00C470D9"/>
    <w:rsid w:val="00C472D7"/>
    <w:rsid w:val="00C50AA3"/>
    <w:rsid w:val="00C511C3"/>
    <w:rsid w:val="00C51B7A"/>
    <w:rsid w:val="00C525B6"/>
    <w:rsid w:val="00C53F8A"/>
    <w:rsid w:val="00C54D8F"/>
    <w:rsid w:val="00C555ED"/>
    <w:rsid w:val="00C55A81"/>
    <w:rsid w:val="00C563E9"/>
    <w:rsid w:val="00C56ACD"/>
    <w:rsid w:val="00C57C46"/>
    <w:rsid w:val="00C60AA4"/>
    <w:rsid w:val="00C63C3E"/>
    <w:rsid w:val="00C64CAB"/>
    <w:rsid w:val="00C70658"/>
    <w:rsid w:val="00C726A0"/>
    <w:rsid w:val="00C72A93"/>
    <w:rsid w:val="00C72F82"/>
    <w:rsid w:val="00C730E0"/>
    <w:rsid w:val="00C74F28"/>
    <w:rsid w:val="00C75E35"/>
    <w:rsid w:val="00C76FA5"/>
    <w:rsid w:val="00C77B09"/>
    <w:rsid w:val="00C77D03"/>
    <w:rsid w:val="00C82C35"/>
    <w:rsid w:val="00C835E2"/>
    <w:rsid w:val="00C83F5D"/>
    <w:rsid w:val="00C84FC7"/>
    <w:rsid w:val="00C85D3B"/>
    <w:rsid w:val="00C85FCD"/>
    <w:rsid w:val="00C86CBF"/>
    <w:rsid w:val="00C87D9D"/>
    <w:rsid w:val="00C90192"/>
    <w:rsid w:val="00C908F6"/>
    <w:rsid w:val="00C90B4D"/>
    <w:rsid w:val="00C90C3B"/>
    <w:rsid w:val="00C9237C"/>
    <w:rsid w:val="00C938BA"/>
    <w:rsid w:val="00C971C9"/>
    <w:rsid w:val="00C97DD5"/>
    <w:rsid w:val="00CA0FF4"/>
    <w:rsid w:val="00CA14C0"/>
    <w:rsid w:val="00CA14FF"/>
    <w:rsid w:val="00CA1606"/>
    <w:rsid w:val="00CA1720"/>
    <w:rsid w:val="00CA1A69"/>
    <w:rsid w:val="00CA30E2"/>
    <w:rsid w:val="00CA5A73"/>
    <w:rsid w:val="00CA6D51"/>
    <w:rsid w:val="00CA7692"/>
    <w:rsid w:val="00CA7C20"/>
    <w:rsid w:val="00CB08FF"/>
    <w:rsid w:val="00CB115B"/>
    <w:rsid w:val="00CB1867"/>
    <w:rsid w:val="00CB188A"/>
    <w:rsid w:val="00CB19BB"/>
    <w:rsid w:val="00CB1DF3"/>
    <w:rsid w:val="00CB2D20"/>
    <w:rsid w:val="00CB3B74"/>
    <w:rsid w:val="00CB4091"/>
    <w:rsid w:val="00CB6021"/>
    <w:rsid w:val="00CB6671"/>
    <w:rsid w:val="00CB6687"/>
    <w:rsid w:val="00CB7EFB"/>
    <w:rsid w:val="00CC03AA"/>
    <w:rsid w:val="00CC1A72"/>
    <w:rsid w:val="00CC2DE3"/>
    <w:rsid w:val="00CC3704"/>
    <w:rsid w:val="00CC3D0F"/>
    <w:rsid w:val="00CC3E0C"/>
    <w:rsid w:val="00CC46C3"/>
    <w:rsid w:val="00CC4C67"/>
    <w:rsid w:val="00CC5B8B"/>
    <w:rsid w:val="00CC6E30"/>
    <w:rsid w:val="00CC6E3C"/>
    <w:rsid w:val="00CC70E9"/>
    <w:rsid w:val="00CD0658"/>
    <w:rsid w:val="00CD2004"/>
    <w:rsid w:val="00CD2709"/>
    <w:rsid w:val="00CD29C5"/>
    <w:rsid w:val="00CD6D13"/>
    <w:rsid w:val="00CD6DA4"/>
    <w:rsid w:val="00CD6E00"/>
    <w:rsid w:val="00CD7367"/>
    <w:rsid w:val="00CD7567"/>
    <w:rsid w:val="00CD7719"/>
    <w:rsid w:val="00CE210B"/>
    <w:rsid w:val="00CE2225"/>
    <w:rsid w:val="00CE2393"/>
    <w:rsid w:val="00CE2512"/>
    <w:rsid w:val="00CE2A95"/>
    <w:rsid w:val="00CE32CC"/>
    <w:rsid w:val="00CE422B"/>
    <w:rsid w:val="00CE4B4C"/>
    <w:rsid w:val="00CE4CC2"/>
    <w:rsid w:val="00CE4D4C"/>
    <w:rsid w:val="00CE5CFF"/>
    <w:rsid w:val="00CE69F6"/>
    <w:rsid w:val="00CE720E"/>
    <w:rsid w:val="00CE7808"/>
    <w:rsid w:val="00CF00D9"/>
    <w:rsid w:val="00CF044E"/>
    <w:rsid w:val="00CF3B7C"/>
    <w:rsid w:val="00CF3C58"/>
    <w:rsid w:val="00CF4CD9"/>
    <w:rsid w:val="00CF51D6"/>
    <w:rsid w:val="00CF66AA"/>
    <w:rsid w:val="00D005AE"/>
    <w:rsid w:val="00D01433"/>
    <w:rsid w:val="00D02CAE"/>
    <w:rsid w:val="00D02F64"/>
    <w:rsid w:val="00D02FD8"/>
    <w:rsid w:val="00D038FE"/>
    <w:rsid w:val="00D0436B"/>
    <w:rsid w:val="00D04A83"/>
    <w:rsid w:val="00D067B6"/>
    <w:rsid w:val="00D076C2"/>
    <w:rsid w:val="00D07FFC"/>
    <w:rsid w:val="00D10930"/>
    <w:rsid w:val="00D12AA7"/>
    <w:rsid w:val="00D12E77"/>
    <w:rsid w:val="00D17495"/>
    <w:rsid w:val="00D17DAC"/>
    <w:rsid w:val="00D201A0"/>
    <w:rsid w:val="00D201C5"/>
    <w:rsid w:val="00D20E72"/>
    <w:rsid w:val="00D21609"/>
    <w:rsid w:val="00D21C95"/>
    <w:rsid w:val="00D23956"/>
    <w:rsid w:val="00D23ECC"/>
    <w:rsid w:val="00D24CFE"/>
    <w:rsid w:val="00D251DB"/>
    <w:rsid w:val="00D25676"/>
    <w:rsid w:val="00D258D2"/>
    <w:rsid w:val="00D268DF"/>
    <w:rsid w:val="00D27904"/>
    <w:rsid w:val="00D27B65"/>
    <w:rsid w:val="00D3007A"/>
    <w:rsid w:val="00D3063F"/>
    <w:rsid w:val="00D31E6F"/>
    <w:rsid w:val="00D3227E"/>
    <w:rsid w:val="00D3372D"/>
    <w:rsid w:val="00D33D36"/>
    <w:rsid w:val="00D35513"/>
    <w:rsid w:val="00D357DC"/>
    <w:rsid w:val="00D35B64"/>
    <w:rsid w:val="00D37309"/>
    <w:rsid w:val="00D37B54"/>
    <w:rsid w:val="00D404C8"/>
    <w:rsid w:val="00D4147E"/>
    <w:rsid w:val="00D41731"/>
    <w:rsid w:val="00D41C0C"/>
    <w:rsid w:val="00D43371"/>
    <w:rsid w:val="00D4505D"/>
    <w:rsid w:val="00D4551E"/>
    <w:rsid w:val="00D45F2F"/>
    <w:rsid w:val="00D50281"/>
    <w:rsid w:val="00D50A48"/>
    <w:rsid w:val="00D51714"/>
    <w:rsid w:val="00D51C3A"/>
    <w:rsid w:val="00D53F2E"/>
    <w:rsid w:val="00D5425F"/>
    <w:rsid w:val="00D5497B"/>
    <w:rsid w:val="00D55A99"/>
    <w:rsid w:val="00D5785C"/>
    <w:rsid w:val="00D57CA1"/>
    <w:rsid w:val="00D57CA9"/>
    <w:rsid w:val="00D57DAA"/>
    <w:rsid w:val="00D6092F"/>
    <w:rsid w:val="00D624AA"/>
    <w:rsid w:val="00D62BC7"/>
    <w:rsid w:val="00D62F36"/>
    <w:rsid w:val="00D62FB6"/>
    <w:rsid w:val="00D633E2"/>
    <w:rsid w:val="00D6374E"/>
    <w:rsid w:val="00D637E9"/>
    <w:rsid w:val="00D6412A"/>
    <w:rsid w:val="00D64659"/>
    <w:rsid w:val="00D66CCA"/>
    <w:rsid w:val="00D66DBE"/>
    <w:rsid w:val="00D6788E"/>
    <w:rsid w:val="00D7134F"/>
    <w:rsid w:val="00D7187E"/>
    <w:rsid w:val="00D721F0"/>
    <w:rsid w:val="00D72943"/>
    <w:rsid w:val="00D73F42"/>
    <w:rsid w:val="00D74550"/>
    <w:rsid w:val="00D7543B"/>
    <w:rsid w:val="00D77934"/>
    <w:rsid w:val="00D801C9"/>
    <w:rsid w:val="00D803C2"/>
    <w:rsid w:val="00D814AF"/>
    <w:rsid w:val="00D825FC"/>
    <w:rsid w:val="00D831D6"/>
    <w:rsid w:val="00D85176"/>
    <w:rsid w:val="00D87346"/>
    <w:rsid w:val="00D8734A"/>
    <w:rsid w:val="00D875B4"/>
    <w:rsid w:val="00D92C61"/>
    <w:rsid w:val="00D92E72"/>
    <w:rsid w:val="00D938EF"/>
    <w:rsid w:val="00D93EE3"/>
    <w:rsid w:val="00D95C47"/>
    <w:rsid w:val="00D95CAC"/>
    <w:rsid w:val="00D962A0"/>
    <w:rsid w:val="00D96B1A"/>
    <w:rsid w:val="00D96B8E"/>
    <w:rsid w:val="00D9708D"/>
    <w:rsid w:val="00D9765D"/>
    <w:rsid w:val="00D97AF7"/>
    <w:rsid w:val="00DA0B86"/>
    <w:rsid w:val="00DA2617"/>
    <w:rsid w:val="00DA41C4"/>
    <w:rsid w:val="00DA46FC"/>
    <w:rsid w:val="00DA5AFC"/>
    <w:rsid w:val="00DA5BB5"/>
    <w:rsid w:val="00DA6874"/>
    <w:rsid w:val="00DA73D0"/>
    <w:rsid w:val="00DA7E4E"/>
    <w:rsid w:val="00DB01ED"/>
    <w:rsid w:val="00DB1B1A"/>
    <w:rsid w:val="00DB25F6"/>
    <w:rsid w:val="00DB3072"/>
    <w:rsid w:val="00DB3AE3"/>
    <w:rsid w:val="00DB4EF7"/>
    <w:rsid w:val="00DB53B9"/>
    <w:rsid w:val="00DB6ABF"/>
    <w:rsid w:val="00DC0968"/>
    <w:rsid w:val="00DC109E"/>
    <w:rsid w:val="00DC1B6C"/>
    <w:rsid w:val="00DC4F16"/>
    <w:rsid w:val="00DC641C"/>
    <w:rsid w:val="00DC695B"/>
    <w:rsid w:val="00DC6BF0"/>
    <w:rsid w:val="00DC72F6"/>
    <w:rsid w:val="00DC7C26"/>
    <w:rsid w:val="00DD0399"/>
    <w:rsid w:val="00DD1EAA"/>
    <w:rsid w:val="00DD37CC"/>
    <w:rsid w:val="00DD4CDD"/>
    <w:rsid w:val="00DD500D"/>
    <w:rsid w:val="00DD5C7A"/>
    <w:rsid w:val="00DD7419"/>
    <w:rsid w:val="00DD7C80"/>
    <w:rsid w:val="00DD7FDE"/>
    <w:rsid w:val="00DE0CD2"/>
    <w:rsid w:val="00DE177E"/>
    <w:rsid w:val="00DE1B5D"/>
    <w:rsid w:val="00DE26B4"/>
    <w:rsid w:val="00DE31D9"/>
    <w:rsid w:val="00DE37C9"/>
    <w:rsid w:val="00DE3C2F"/>
    <w:rsid w:val="00DE3EFD"/>
    <w:rsid w:val="00DE4616"/>
    <w:rsid w:val="00DE5322"/>
    <w:rsid w:val="00DE5646"/>
    <w:rsid w:val="00DE67C7"/>
    <w:rsid w:val="00DE7D7D"/>
    <w:rsid w:val="00DF22F7"/>
    <w:rsid w:val="00DF3730"/>
    <w:rsid w:val="00DF5A77"/>
    <w:rsid w:val="00DF6A22"/>
    <w:rsid w:val="00DF6C71"/>
    <w:rsid w:val="00DF73A5"/>
    <w:rsid w:val="00DF7912"/>
    <w:rsid w:val="00E00CFB"/>
    <w:rsid w:val="00E012FD"/>
    <w:rsid w:val="00E0210B"/>
    <w:rsid w:val="00E028CB"/>
    <w:rsid w:val="00E052B4"/>
    <w:rsid w:val="00E05B72"/>
    <w:rsid w:val="00E07E33"/>
    <w:rsid w:val="00E10B41"/>
    <w:rsid w:val="00E11B2E"/>
    <w:rsid w:val="00E11E71"/>
    <w:rsid w:val="00E11FF0"/>
    <w:rsid w:val="00E1221D"/>
    <w:rsid w:val="00E12C70"/>
    <w:rsid w:val="00E12CD7"/>
    <w:rsid w:val="00E14243"/>
    <w:rsid w:val="00E14495"/>
    <w:rsid w:val="00E14A25"/>
    <w:rsid w:val="00E20410"/>
    <w:rsid w:val="00E20EDF"/>
    <w:rsid w:val="00E22522"/>
    <w:rsid w:val="00E24C7F"/>
    <w:rsid w:val="00E24C85"/>
    <w:rsid w:val="00E24D7D"/>
    <w:rsid w:val="00E25434"/>
    <w:rsid w:val="00E2548D"/>
    <w:rsid w:val="00E2584E"/>
    <w:rsid w:val="00E26388"/>
    <w:rsid w:val="00E26B76"/>
    <w:rsid w:val="00E2763A"/>
    <w:rsid w:val="00E300C0"/>
    <w:rsid w:val="00E309BE"/>
    <w:rsid w:val="00E30BDC"/>
    <w:rsid w:val="00E31C7C"/>
    <w:rsid w:val="00E34D67"/>
    <w:rsid w:val="00E36FCA"/>
    <w:rsid w:val="00E37091"/>
    <w:rsid w:val="00E3730C"/>
    <w:rsid w:val="00E377A8"/>
    <w:rsid w:val="00E37FD6"/>
    <w:rsid w:val="00E42312"/>
    <w:rsid w:val="00E435F8"/>
    <w:rsid w:val="00E4399D"/>
    <w:rsid w:val="00E43C6D"/>
    <w:rsid w:val="00E44B38"/>
    <w:rsid w:val="00E4580D"/>
    <w:rsid w:val="00E45CAE"/>
    <w:rsid w:val="00E47449"/>
    <w:rsid w:val="00E47866"/>
    <w:rsid w:val="00E52949"/>
    <w:rsid w:val="00E535F7"/>
    <w:rsid w:val="00E536CD"/>
    <w:rsid w:val="00E54EE1"/>
    <w:rsid w:val="00E55C8A"/>
    <w:rsid w:val="00E57861"/>
    <w:rsid w:val="00E60039"/>
    <w:rsid w:val="00E60482"/>
    <w:rsid w:val="00E61D49"/>
    <w:rsid w:val="00E71760"/>
    <w:rsid w:val="00E722A7"/>
    <w:rsid w:val="00E725AE"/>
    <w:rsid w:val="00E73DCB"/>
    <w:rsid w:val="00E7610E"/>
    <w:rsid w:val="00E76176"/>
    <w:rsid w:val="00E778F4"/>
    <w:rsid w:val="00E77CBE"/>
    <w:rsid w:val="00E81A26"/>
    <w:rsid w:val="00E81D9F"/>
    <w:rsid w:val="00E81EA4"/>
    <w:rsid w:val="00E81FE5"/>
    <w:rsid w:val="00E83ED6"/>
    <w:rsid w:val="00E84459"/>
    <w:rsid w:val="00E86494"/>
    <w:rsid w:val="00E877C2"/>
    <w:rsid w:val="00E87897"/>
    <w:rsid w:val="00E91DFC"/>
    <w:rsid w:val="00E9230D"/>
    <w:rsid w:val="00E94878"/>
    <w:rsid w:val="00E957F4"/>
    <w:rsid w:val="00E97BD3"/>
    <w:rsid w:val="00E97E9D"/>
    <w:rsid w:val="00EA1453"/>
    <w:rsid w:val="00EA177F"/>
    <w:rsid w:val="00EA3E59"/>
    <w:rsid w:val="00EA3F3C"/>
    <w:rsid w:val="00EA4D25"/>
    <w:rsid w:val="00EA4DE6"/>
    <w:rsid w:val="00EA5E62"/>
    <w:rsid w:val="00EA7367"/>
    <w:rsid w:val="00EA7445"/>
    <w:rsid w:val="00EA7892"/>
    <w:rsid w:val="00EA7A4C"/>
    <w:rsid w:val="00EB0BB2"/>
    <w:rsid w:val="00EB14DA"/>
    <w:rsid w:val="00EB2BE2"/>
    <w:rsid w:val="00EB3005"/>
    <w:rsid w:val="00EB33E6"/>
    <w:rsid w:val="00EB3B75"/>
    <w:rsid w:val="00EB3C8B"/>
    <w:rsid w:val="00EB50DE"/>
    <w:rsid w:val="00EB582E"/>
    <w:rsid w:val="00EC0E3E"/>
    <w:rsid w:val="00EC1176"/>
    <w:rsid w:val="00EC13D1"/>
    <w:rsid w:val="00EC3FD1"/>
    <w:rsid w:val="00EC5789"/>
    <w:rsid w:val="00EC6139"/>
    <w:rsid w:val="00EC6F69"/>
    <w:rsid w:val="00EC72D2"/>
    <w:rsid w:val="00EC7F11"/>
    <w:rsid w:val="00ED0744"/>
    <w:rsid w:val="00ED168C"/>
    <w:rsid w:val="00ED340D"/>
    <w:rsid w:val="00ED49FE"/>
    <w:rsid w:val="00ED4AE1"/>
    <w:rsid w:val="00ED57E8"/>
    <w:rsid w:val="00ED6221"/>
    <w:rsid w:val="00ED7B27"/>
    <w:rsid w:val="00EE035E"/>
    <w:rsid w:val="00EE07ED"/>
    <w:rsid w:val="00EE1181"/>
    <w:rsid w:val="00EE1812"/>
    <w:rsid w:val="00EE20C0"/>
    <w:rsid w:val="00EE2CE6"/>
    <w:rsid w:val="00EE3525"/>
    <w:rsid w:val="00EE359E"/>
    <w:rsid w:val="00EE4765"/>
    <w:rsid w:val="00EE5187"/>
    <w:rsid w:val="00EE5650"/>
    <w:rsid w:val="00EE5743"/>
    <w:rsid w:val="00EE6D12"/>
    <w:rsid w:val="00EE6E7E"/>
    <w:rsid w:val="00EF0EDB"/>
    <w:rsid w:val="00EF2433"/>
    <w:rsid w:val="00EF3CFC"/>
    <w:rsid w:val="00EF3F97"/>
    <w:rsid w:val="00EF466A"/>
    <w:rsid w:val="00EF4E7C"/>
    <w:rsid w:val="00EF5849"/>
    <w:rsid w:val="00EF630F"/>
    <w:rsid w:val="00EF70DF"/>
    <w:rsid w:val="00EF7978"/>
    <w:rsid w:val="00EF7C30"/>
    <w:rsid w:val="00EF7CD8"/>
    <w:rsid w:val="00F006F7"/>
    <w:rsid w:val="00F02703"/>
    <w:rsid w:val="00F04A76"/>
    <w:rsid w:val="00F056D2"/>
    <w:rsid w:val="00F05B69"/>
    <w:rsid w:val="00F06955"/>
    <w:rsid w:val="00F07D38"/>
    <w:rsid w:val="00F103B4"/>
    <w:rsid w:val="00F107AD"/>
    <w:rsid w:val="00F10F19"/>
    <w:rsid w:val="00F10F60"/>
    <w:rsid w:val="00F11EBE"/>
    <w:rsid w:val="00F12F88"/>
    <w:rsid w:val="00F1385E"/>
    <w:rsid w:val="00F13F85"/>
    <w:rsid w:val="00F1478E"/>
    <w:rsid w:val="00F14B5F"/>
    <w:rsid w:val="00F15D42"/>
    <w:rsid w:val="00F175E5"/>
    <w:rsid w:val="00F217F4"/>
    <w:rsid w:val="00F22416"/>
    <w:rsid w:val="00F24404"/>
    <w:rsid w:val="00F245CC"/>
    <w:rsid w:val="00F2461D"/>
    <w:rsid w:val="00F25E0B"/>
    <w:rsid w:val="00F25FD1"/>
    <w:rsid w:val="00F26757"/>
    <w:rsid w:val="00F26AAA"/>
    <w:rsid w:val="00F273B2"/>
    <w:rsid w:val="00F27D8A"/>
    <w:rsid w:val="00F308DF"/>
    <w:rsid w:val="00F309F5"/>
    <w:rsid w:val="00F30E9B"/>
    <w:rsid w:val="00F3102D"/>
    <w:rsid w:val="00F31654"/>
    <w:rsid w:val="00F3171F"/>
    <w:rsid w:val="00F32657"/>
    <w:rsid w:val="00F33802"/>
    <w:rsid w:val="00F33DD1"/>
    <w:rsid w:val="00F33F8C"/>
    <w:rsid w:val="00F343CD"/>
    <w:rsid w:val="00F34B60"/>
    <w:rsid w:val="00F34BF0"/>
    <w:rsid w:val="00F3552D"/>
    <w:rsid w:val="00F373B6"/>
    <w:rsid w:val="00F37561"/>
    <w:rsid w:val="00F40929"/>
    <w:rsid w:val="00F40F8D"/>
    <w:rsid w:val="00F41236"/>
    <w:rsid w:val="00F41846"/>
    <w:rsid w:val="00F427CF"/>
    <w:rsid w:val="00F43F58"/>
    <w:rsid w:val="00F47A09"/>
    <w:rsid w:val="00F50094"/>
    <w:rsid w:val="00F51DD8"/>
    <w:rsid w:val="00F5567F"/>
    <w:rsid w:val="00F55DB8"/>
    <w:rsid w:val="00F56CAC"/>
    <w:rsid w:val="00F573D5"/>
    <w:rsid w:val="00F5744E"/>
    <w:rsid w:val="00F579FB"/>
    <w:rsid w:val="00F57B3F"/>
    <w:rsid w:val="00F60349"/>
    <w:rsid w:val="00F6068A"/>
    <w:rsid w:val="00F61D66"/>
    <w:rsid w:val="00F668AE"/>
    <w:rsid w:val="00F673CA"/>
    <w:rsid w:val="00F702D7"/>
    <w:rsid w:val="00F731B0"/>
    <w:rsid w:val="00F73AD4"/>
    <w:rsid w:val="00F73F85"/>
    <w:rsid w:val="00F75C35"/>
    <w:rsid w:val="00F76131"/>
    <w:rsid w:val="00F76BA1"/>
    <w:rsid w:val="00F77445"/>
    <w:rsid w:val="00F77526"/>
    <w:rsid w:val="00F77CBD"/>
    <w:rsid w:val="00F814BC"/>
    <w:rsid w:val="00F83800"/>
    <w:rsid w:val="00F844C0"/>
    <w:rsid w:val="00F84EA6"/>
    <w:rsid w:val="00F85CDC"/>
    <w:rsid w:val="00F86954"/>
    <w:rsid w:val="00F90260"/>
    <w:rsid w:val="00F90952"/>
    <w:rsid w:val="00F90EC2"/>
    <w:rsid w:val="00F91430"/>
    <w:rsid w:val="00F924C3"/>
    <w:rsid w:val="00F929F9"/>
    <w:rsid w:val="00F93234"/>
    <w:rsid w:val="00F9328F"/>
    <w:rsid w:val="00F9331E"/>
    <w:rsid w:val="00F944E5"/>
    <w:rsid w:val="00F95400"/>
    <w:rsid w:val="00F9648E"/>
    <w:rsid w:val="00F97210"/>
    <w:rsid w:val="00FA0080"/>
    <w:rsid w:val="00FA0A70"/>
    <w:rsid w:val="00FA456A"/>
    <w:rsid w:val="00FA57AF"/>
    <w:rsid w:val="00FA58FD"/>
    <w:rsid w:val="00FA6821"/>
    <w:rsid w:val="00FA7C3A"/>
    <w:rsid w:val="00FB0069"/>
    <w:rsid w:val="00FB02BB"/>
    <w:rsid w:val="00FB0BB2"/>
    <w:rsid w:val="00FB0CCE"/>
    <w:rsid w:val="00FB12AA"/>
    <w:rsid w:val="00FB2EBE"/>
    <w:rsid w:val="00FB430C"/>
    <w:rsid w:val="00FB4CFC"/>
    <w:rsid w:val="00FB67B4"/>
    <w:rsid w:val="00FB6828"/>
    <w:rsid w:val="00FB6C3D"/>
    <w:rsid w:val="00FB7C8C"/>
    <w:rsid w:val="00FB7FFE"/>
    <w:rsid w:val="00FC0BF8"/>
    <w:rsid w:val="00FC0F8D"/>
    <w:rsid w:val="00FC14D9"/>
    <w:rsid w:val="00FC1C7A"/>
    <w:rsid w:val="00FC2425"/>
    <w:rsid w:val="00FC280E"/>
    <w:rsid w:val="00FC370D"/>
    <w:rsid w:val="00FC3FA3"/>
    <w:rsid w:val="00FC4682"/>
    <w:rsid w:val="00FC5F48"/>
    <w:rsid w:val="00FC71C5"/>
    <w:rsid w:val="00FD2A4A"/>
    <w:rsid w:val="00FD417C"/>
    <w:rsid w:val="00FD48CF"/>
    <w:rsid w:val="00FD642A"/>
    <w:rsid w:val="00FD7E02"/>
    <w:rsid w:val="00FE0214"/>
    <w:rsid w:val="00FE0E8E"/>
    <w:rsid w:val="00FE1999"/>
    <w:rsid w:val="00FE249D"/>
    <w:rsid w:val="00FE24EE"/>
    <w:rsid w:val="00FE2BDD"/>
    <w:rsid w:val="00FE2C40"/>
    <w:rsid w:val="00FE321D"/>
    <w:rsid w:val="00FE3A60"/>
    <w:rsid w:val="00FE3FB2"/>
    <w:rsid w:val="00FE4464"/>
    <w:rsid w:val="00FE64E0"/>
    <w:rsid w:val="00FE6E9E"/>
    <w:rsid w:val="00FF0365"/>
    <w:rsid w:val="00FF1C47"/>
    <w:rsid w:val="00FF2722"/>
    <w:rsid w:val="00FF2E2B"/>
    <w:rsid w:val="00FF2F6C"/>
    <w:rsid w:val="00FF4A33"/>
    <w:rsid w:val="00FF4DC2"/>
    <w:rsid w:val="00FF512A"/>
    <w:rsid w:val="00FF5A55"/>
    <w:rsid w:val="00FF67B5"/>
    <w:rsid w:val="00FF697A"/>
    <w:rsid w:val="00FF7443"/>
    <w:rsid w:val="00FF7818"/>
    <w:rsid w:val="00FF79B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8D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4D"/>
    <w:pPr>
      <w:spacing w:after="0" w:line="240" w:lineRule="auto"/>
      <w:jc w:val="both"/>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8943D7"/>
    <w:pPr>
      <w:spacing w:before="100" w:beforeAutospacing="1" w:after="100" w:afterAutospacing="1"/>
      <w:jc w:val="left"/>
      <w:outlineLvl w:val="0"/>
    </w:pPr>
    <w:rPr>
      <w:rFonts w:ascii="Times" w:eastAsiaTheme="minorHAnsi" w:hAnsi="Times" w:cstheme="minorBid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E9B"/>
    <w:rPr>
      <w:color w:val="0000FF" w:themeColor="hyperlink"/>
      <w:u w:val="single"/>
    </w:rPr>
  </w:style>
  <w:style w:type="character" w:customStyle="1" w:styleId="apple-converted-space">
    <w:name w:val="apple-converted-space"/>
    <w:basedOn w:val="DefaultParagraphFont"/>
    <w:rsid w:val="00622482"/>
  </w:style>
  <w:style w:type="character" w:customStyle="1" w:styleId="Heading1Char">
    <w:name w:val="Heading 1 Char"/>
    <w:basedOn w:val="DefaultParagraphFont"/>
    <w:link w:val="Heading1"/>
    <w:uiPriority w:val="9"/>
    <w:rsid w:val="008943D7"/>
    <w:rPr>
      <w:rFonts w:ascii="Times" w:hAnsi="Times"/>
      <w:b/>
      <w:bCs/>
      <w:kern w:val="36"/>
      <w:sz w:val="48"/>
      <w:szCs w:val="48"/>
    </w:rPr>
  </w:style>
  <w:style w:type="character" w:customStyle="1" w:styleId="byline">
    <w:name w:val="byline"/>
    <w:basedOn w:val="DefaultParagraphFont"/>
    <w:rsid w:val="008943D7"/>
  </w:style>
  <w:style w:type="paragraph" w:styleId="ListParagraph">
    <w:name w:val="List Paragraph"/>
    <w:basedOn w:val="Normal"/>
    <w:uiPriority w:val="34"/>
    <w:qFormat/>
    <w:rsid w:val="0042172E"/>
    <w:pPr>
      <w:ind w:left="720"/>
      <w:contextualSpacing/>
    </w:pPr>
  </w:style>
  <w:style w:type="paragraph" w:styleId="BalloonText">
    <w:name w:val="Balloon Text"/>
    <w:basedOn w:val="Normal"/>
    <w:link w:val="BalloonTextChar"/>
    <w:uiPriority w:val="99"/>
    <w:semiHidden/>
    <w:unhideWhenUsed/>
    <w:rsid w:val="00541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3E4"/>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0B5550"/>
    <w:rPr>
      <w:sz w:val="18"/>
      <w:szCs w:val="18"/>
    </w:rPr>
  </w:style>
  <w:style w:type="paragraph" w:styleId="CommentText">
    <w:name w:val="annotation text"/>
    <w:basedOn w:val="Normal"/>
    <w:link w:val="CommentTextChar"/>
    <w:uiPriority w:val="99"/>
    <w:semiHidden/>
    <w:unhideWhenUsed/>
    <w:rsid w:val="000B5550"/>
  </w:style>
  <w:style w:type="character" w:customStyle="1" w:styleId="CommentTextChar">
    <w:name w:val="Comment Text Char"/>
    <w:basedOn w:val="DefaultParagraphFont"/>
    <w:link w:val="CommentText"/>
    <w:uiPriority w:val="99"/>
    <w:semiHidden/>
    <w:rsid w:val="000B5550"/>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0B5550"/>
    <w:rPr>
      <w:b/>
      <w:bCs/>
      <w:sz w:val="20"/>
      <w:szCs w:val="20"/>
    </w:rPr>
  </w:style>
  <w:style w:type="character" w:customStyle="1" w:styleId="CommentSubjectChar">
    <w:name w:val="Comment Subject Char"/>
    <w:basedOn w:val="CommentTextChar"/>
    <w:link w:val="CommentSubject"/>
    <w:uiPriority w:val="99"/>
    <w:semiHidden/>
    <w:rsid w:val="000B5550"/>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D66CCA"/>
    <w:rPr>
      <w:color w:val="800080" w:themeColor="followedHyperlink"/>
      <w:u w:val="single"/>
    </w:rPr>
  </w:style>
  <w:style w:type="paragraph" w:styleId="NormalWeb">
    <w:name w:val="Normal (Web)"/>
    <w:basedOn w:val="Normal"/>
    <w:uiPriority w:val="99"/>
    <w:semiHidden/>
    <w:unhideWhenUsed/>
    <w:rsid w:val="007B4D44"/>
    <w:pPr>
      <w:spacing w:before="100" w:beforeAutospacing="1" w:after="100" w:afterAutospacing="1"/>
      <w:jc w:val="left"/>
    </w:pPr>
    <w:rPr>
      <w:rFonts w:ascii="Times" w:eastAsiaTheme="minorHAnsi" w:hAnsi="Times"/>
      <w:sz w:val="20"/>
      <w:szCs w:val="20"/>
      <w:lang w:val="en-US"/>
    </w:rPr>
  </w:style>
  <w:style w:type="table" w:styleId="TableGrid">
    <w:name w:val="Table Grid"/>
    <w:basedOn w:val="TableNormal"/>
    <w:uiPriority w:val="59"/>
    <w:rsid w:val="00463EB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4D"/>
    <w:pPr>
      <w:spacing w:after="0" w:line="240" w:lineRule="auto"/>
      <w:jc w:val="both"/>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8943D7"/>
    <w:pPr>
      <w:spacing w:before="100" w:beforeAutospacing="1" w:after="100" w:afterAutospacing="1"/>
      <w:jc w:val="left"/>
      <w:outlineLvl w:val="0"/>
    </w:pPr>
    <w:rPr>
      <w:rFonts w:ascii="Times" w:eastAsiaTheme="minorHAnsi" w:hAnsi="Times" w:cstheme="minorBid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E9B"/>
    <w:rPr>
      <w:color w:val="0000FF" w:themeColor="hyperlink"/>
      <w:u w:val="single"/>
    </w:rPr>
  </w:style>
  <w:style w:type="character" w:customStyle="1" w:styleId="apple-converted-space">
    <w:name w:val="apple-converted-space"/>
    <w:basedOn w:val="DefaultParagraphFont"/>
    <w:rsid w:val="00622482"/>
  </w:style>
  <w:style w:type="character" w:customStyle="1" w:styleId="Heading1Char">
    <w:name w:val="Heading 1 Char"/>
    <w:basedOn w:val="DefaultParagraphFont"/>
    <w:link w:val="Heading1"/>
    <w:uiPriority w:val="9"/>
    <w:rsid w:val="008943D7"/>
    <w:rPr>
      <w:rFonts w:ascii="Times" w:hAnsi="Times"/>
      <w:b/>
      <w:bCs/>
      <w:kern w:val="36"/>
      <w:sz w:val="48"/>
      <w:szCs w:val="48"/>
    </w:rPr>
  </w:style>
  <w:style w:type="character" w:customStyle="1" w:styleId="byline">
    <w:name w:val="byline"/>
    <w:basedOn w:val="DefaultParagraphFont"/>
    <w:rsid w:val="008943D7"/>
  </w:style>
  <w:style w:type="paragraph" w:styleId="ListParagraph">
    <w:name w:val="List Paragraph"/>
    <w:basedOn w:val="Normal"/>
    <w:uiPriority w:val="34"/>
    <w:qFormat/>
    <w:rsid w:val="0042172E"/>
    <w:pPr>
      <w:ind w:left="720"/>
      <w:contextualSpacing/>
    </w:pPr>
  </w:style>
  <w:style w:type="paragraph" w:styleId="BalloonText">
    <w:name w:val="Balloon Text"/>
    <w:basedOn w:val="Normal"/>
    <w:link w:val="BalloonTextChar"/>
    <w:uiPriority w:val="99"/>
    <w:semiHidden/>
    <w:unhideWhenUsed/>
    <w:rsid w:val="00541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3E4"/>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0B5550"/>
    <w:rPr>
      <w:sz w:val="18"/>
      <w:szCs w:val="18"/>
    </w:rPr>
  </w:style>
  <w:style w:type="paragraph" w:styleId="CommentText">
    <w:name w:val="annotation text"/>
    <w:basedOn w:val="Normal"/>
    <w:link w:val="CommentTextChar"/>
    <w:uiPriority w:val="99"/>
    <w:semiHidden/>
    <w:unhideWhenUsed/>
    <w:rsid w:val="000B5550"/>
  </w:style>
  <w:style w:type="character" w:customStyle="1" w:styleId="CommentTextChar">
    <w:name w:val="Comment Text Char"/>
    <w:basedOn w:val="DefaultParagraphFont"/>
    <w:link w:val="CommentText"/>
    <w:uiPriority w:val="99"/>
    <w:semiHidden/>
    <w:rsid w:val="000B5550"/>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0B5550"/>
    <w:rPr>
      <w:b/>
      <w:bCs/>
      <w:sz w:val="20"/>
      <w:szCs w:val="20"/>
    </w:rPr>
  </w:style>
  <w:style w:type="character" w:customStyle="1" w:styleId="CommentSubjectChar">
    <w:name w:val="Comment Subject Char"/>
    <w:basedOn w:val="CommentTextChar"/>
    <w:link w:val="CommentSubject"/>
    <w:uiPriority w:val="99"/>
    <w:semiHidden/>
    <w:rsid w:val="000B5550"/>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D66CCA"/>
    <w:rPr>
      <w:color w:val="800080" w:themeColor="followedHyperlink"/>
      <w:u w:val="single"/>
    </w:rPr>
  </w:style>
  <w:style w:type="paragraph" w:styleId="NormalWeb">
    <w:name w:val="Normal (Web)"/>
    <w:basedOn w:val="Normal"/>
    <w:uiPriority w:val="99"/>
    <w:semiHidden/>
    <w:unhideWhenUsed/>
    <w:rsid w:val="007B4D44"/>
    <w:pPr>
      <w:spacing w:before="100" w:beforeAutospacing="1" w:after="100" w:afterAutospacing="1"/>
      <w:jc w:val="left"/>
    </w:pPr>
    <w:rPr>
      <w:rFonts w:ascii="Times" w:eastAsiaTheme="minorHAnsi" w:hAnsi="Times"/>
      <w:sz w:val="20"/>
      <w:szCs w:val="20"/>
      <w:lang w:val="en-US"/>
    </w:rPr>
  </w:style>
  <w:style w:type="table" w:styleId="TableGrid">
    <w:name w:val="Table Grid"/>
    <w:basedOn w:val="TableNormal"/>
    <w:uiPriority w:val="59"/>
    <w:rsid w:val="00463EB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3031">
      <w:bodyDiv w:val="1"/>
      <w:marLeft w:val="0"/>
      <w:marRight w:val="0"/>
      <w:marTop w:val="0"/>
      <w:marBottom w:val="0"/>
      <w:divBdr>
        <w:top w:val="none" w:sz="0" w:space="0" w:color="auto"/>
        <w:left w:val="none" w:sz="0" w:space="0" w:color="auto"/>
        <w:bottom w:val="none" w:sz="0" w:space="0" w:color="auto"/>
        <w:right w:val="none" w:sz="0" w:space="0" w:color="auto"/>
      </w:divBdr>
    </w:div>
    <w:div w:id="142624153">
      <w:bodyDiv w:val="1"/>
      <w:marLeft w:val="0"/>
      <w:marRight w:val="0"/>
      <w:marTop w:val="0"/>
      <w:marBottom w:val="0"/>
      <w:divBdr>
        <w:top w:val="none" w:sz="0" w:space="0" w:color="auto"/>
        <w:left w:val="none" w:sz="0" w:space="0" w:color="auto"/>
        <w:bottom w:val="none" w:sz="0" w:space="0" w:color="auto"/>
        <w:right w:val="none" w:sz="0" w:space="0" w:color="auto"/>
      </w:divBdr>
    </w:div>
    <w:div w:id="167673775">
      <w:bodyDiv w:val="1"/>
      <w:marLeft w:val="0"/>
      <w:marRight w:val="0"/>
      <w:marTop w:val="0"/>
      <w:marBottom w:val="0"/>
      <w:divBdr>
        <w:top w:val="none" w:sz="0" w:space="0" w:color="auto"/>
        <w:left w:val="none" w:sz="0" w:space="0" w:color="auto"/>
        <w:bottom w:val="none" w:sz="0" w:space="0" w:color="auto"/>
        <w:right w:val="none" w:sz="0" w:space="0" w:color="auto"/>
      </w:divBdr>
    </w:div>
    <w:div w:id="180750892">
      <w:bodyDiv w:val="1"/>
      <w:marLeft w:val="0"/>
      <w:marRight w:val="0"/>
      <w:marTop w:val="0"/>
      <w:marBottom w:val="0"/>
      <w:divBdr>
        <w:top w:val="none" w:sz="0" w:space="0" w:color="auto"/>
        <w:left w:val="none" w:sz="0" w:space="0" w:color="auto"/>
        <w:bottom w:val="none" w:sz="0" w:space="0" w:color="auto"/>
        <w:right w:val="none" w:sz="0" w:space="0" w:color="auto"/>
      </w:divBdr>
    </w:div>
    <w:div w:id="200434922">
      <w:bodyDiv w:val="1"/>
      <w:marLeft w:val="0"/>
      <w:marRight w:val="0"/>
      <w:marTop w:val="0"/>
      <w:marBottom w:val="0"/>
      <w:divBdr>
        <w:top w:val="none" w:sz="0" w:space="0" w:color="auto"/>
        <w:left w:val="none" w:sz="0" w:space="0" w:color="auto"/>
        <w:bottom w:val="none" w:sz="0" w:space="0" w:color="auto"/>
        <w:right w:val="none" w:sz="0" w:space="0" w:color="auto"/>
      </w:divBdr>
    </w:div>
    <w:div w:id="247346400">
      <w:bodyDiv w:val="1"/>
      <w:marLeft w:val="0"/>
      <w:marRight w:val="0"/>
      <w:marTop w:val="0"/>
      <w:marBottom w:val="0"/>
      <w:divBdr>
        <w:top w:val="none" w:sz="0" w:space="0" w:color="auto"/>
        <w:left w:val="none" w:sz="0" w:space="0" w:color="auto"/>
        <w:bottom w:val="none" w:sz="0" w:space="0" w:color="auto"/>
        <w:right w:val="none" w:sz="0" w:space="0" w:color="auto"/>
      </w:divBdr>
    </w:div>
    <w:div w:id="273445525">
      <w:bodyDiv w:val="1"/>
      <w:marLeft w:val="0"/>
      <w:marRight w:val="0"/>
      <w:marTop w:val="0"/>
      <w:marBottom w:val="0"/>
      <w:divBdr>
        <w:top w:val="none" w:sz="0" w:space="0" w:color="auto"/>
        <w:left w:val="none" w:sz="0" w:space="0" w:color="auto"/>
        <w:bottom w:val="none" w:sz="0" w:space="0" w:color="auto"/>
        <w:right w:val="none" w:sz="0" w:space="0" w:color="auto"/>
      </w:divBdr>
    </w:div>
    <w:div w:id="280838856">
      <w:bodyDiv w:val="1"/>
      <w:marLeft w:val="0"/>
      <w:marRight w:val="0"/>
      <w:marTop w:val="0"/>
      <w:marBottom w:val="0"/>
      <w:divBdr>
        <w:top w:val="none" w:sz="0" w:space="0" w:color="auto"/>
        <w:left w:val="none" w:sz="0" w:space="0" w:color="auto"/>
        <w:bottom w:val="none" w:sz="0" w:space="0" w:color="auto"/>
        <w:right w:val="none" w:sz="0" w:space="0" w:color="auto"/>
      </w:divBdr>
    </w:div>
    <w:div w:id="460660728">
      <w:bodyDiv w:val="1"/>
      <w:marLeft w:val="0"/>
      <w:marRight w:val="0"/>
      <w:marTop w:val="0"/>
      <w:marBottom w:val="0"/>
      <w:divBdr>
        <w:top w:val="none" w:sz="0" w:space="0" w:color="auto"/>
        <w:left w:val="none" w:sz="0" w:space="0" w:color="auto"/>
        <w:bottom w:val="none" w:sz="0" w:space="0" w:color="auto"/>
        <w:right w:val="none" w:sz="0" w:space="0" w:color="auto"/>
      </w:divBdr>
    </w:div>
    <w:div w:id="662243541">
      <w:bodyDiv w:val="1"/>
      <w:marLeft w:val="0"/>
      <w:marRight w:val="0"/>
      <w:marTop w:val="0"/>
      <w:marBottom w:val="0"/>
      <w:divBdr>
        <w:top w:val="none" w:sz="0" w:space="0" w:color="auto"/>
        <w:left w:val="none" w:sz="0" w:space="0" w:color="auto"/>
        <w:bottom w:val="none" w:sz="0" w:space="0" w:color="auto"/>
        <w:right w:val="none" w:sz="0" w:space="0" w:color="auto"/>
      </w:divBdr>
    </w:div>
    <w:div w:id="989364131">
      <w:bodyDiv w:val="1"/>
      <w:marLeft w:val="0"/>
      <w:marRight w:val="0"/>
      <w:marTop w:val="0"/>
      <w:marBottom w:val="0"/>
      <w:divBdr>
        <w:top w:val="none" w:sz="0" w:space="0" w:color="auto"/>
        <w:left w:val="none" w:sz="0" w:space="0" w:color="auto"/>
        <w:bottom w:val="none" w:sz="0" w:space="0" w:color="auto"/>
        <w:right w:val="none" w:sz="0" w:space="0" w:color="auto"/>
      </w:divBdr>
    </w:div>
    <w:div w:id="1074663813">
      <w:bodyDiv w:val="1"/>
      <w:marLeft w:val="0"/>
      <w:marRight w:val="0"/>
      <w:marTop w:val="0"/>
      <w:marBottom w:val="0"/>
      <w:divBdr>
        <w:top w:val="none" w:sz="0" w:space="0" w:color="auto"/>
        <w:left w:val="none" w:sz="0" w:space="0" w:color="auto"/>
        <w:bottom w:val="none" w:sz="0" w:space="0" w:color="auto"/>
        <w:right w:val="none" w:sz="0" w:space="0" w:color="auto"/>
      </w:divBdr>
    </w:div>
    <w:div w:id="1377241257">
      <w:bodyDiv w:val="1"/>
      <w:marLeft w:val="0"/>
      <w:marRight w:val="0"/>
      <w:marTop w:val="0"/>
      <w:marBottom w:val="0"/>
      <w:divBdr>
        <w:top w:val="none" w:sz="0" w:space="0" w:color="auto"/>
        <w:left w:val="none" w:sz="0" w:space="0" w:color="auto"/>
        <w:bottom w:val="none" w:sz="0" w:space="0" w:color="auto"/>
        <w:right w:val="none" w:sz="0" w:space="0" w:color="auto"/>
      </w:divBdr>
    </w:div>
    <w:div w:id="1397701484">
      <w:bodyDiv w:val="1"/>
      <w:marLeft w:val="0"/>
      <w:marRight w:val="0"/>
      <w:marTop w:val="0"/>
      <w:marBottom w:val="0"/>
      <w:divBdr>
        <w:top w:val="none" w:sz="0" w:space="0" w:color="auto"/>
        <w:left w:val="none" w:sz="0" w:space="0" w:color="auto"/>
        <w:bottom w:val="none" w:sz="0" w:space="0" w:color="auto"/>
        <w:right w:val="none" w:sz="0" w:space="0" w:color="auto"/>
      </w:divBdr>
    </w:div>
    <w:div w:id="1538740282">
      <w:bodyDiv w:val="1"/>
      <w:marLeft w:val="0"/>
      <w:marRight w:val="0"/>
      <w:marTop w:val="0"/>
      <w:marBottom w:val="0"/>
      <w:divBdr>
        <w:top w:val="none" w:sz="0" w:space="0" w:color="auto"/>
        <w:left w:val="none" w:sz="0" w:space="0" w:color="auto"/>
        <w:bottom w:val="none" w:sz="0" w:space="0" w:color="auto"/>
        <w:right w:val="none" w:sz="0" w:space="0" w:color="auto"/>
      </w:divBdr>
    </w:div>
    <w:div w:id="1552033677">
      <w:bodyDiv w:val="1"/>
      <w:marLeft w:val="0"/>
      <w:marRight w:val="0"/>
      <w:marTop w:val="0"/>
      <w:marBottom w:val="0"/>
      <w:divBdr>
        <w:top w:val="none" w:sz="0" w:space="0" w:color="auto"/>
        <w:left w:val="none" w:sz="0" w:space="0" w:color="auto"/>
        <w:bottom w:val="none" w:sz="0" w:space="0" w:color="auto"/>
        <w:right w:val="none" w:sz="0" w:space="0" w:color="auto"/>
      </w:divBdr>
    </w:div>
    <w:div w:id="1582135640">
      <w:bodyDiv w:val="1"/>
      <w:marLeft w:val="0"/>
      <w:marRight w:val="0"/>
      <w:marTop w:val="0"/>
      <w:marBottom w:val="0"/>
      <w:divBdr>
        <w:top w:val="none" w:sz="0" w:space="0" w:color="auto"/>
        <w:left w:val="none" w:sz="0" w:space="0" w:color="auto"/>
        <w:bottom w:val="none" w:sz="0" w:space="0" w:color="auto"/>
        <w:right w:val="none" w:sz="0" w:space="0" w:color="auto"/>
      </w:divBdr>
    </w:div>
    <w:div w:id="1991788914">
      <w:bodyDiv w:val="1"/>
      <w:marLeft w:val="0"/>
      <w:marRight w:val="0"/>
      <w:marTop w:val="0"/>
      <w:marBottom w:val="0"/>
      <w:divBdr>
        <w:top w:val="none" w:sz="0" w:space="0" w:color="auto"/>
        <w:left w:val="none" w:sz="0" w:space="0" w:color="auto"/>
        <w:bottom w:val="none" w:sz="0" w:space="0" w:color="auto"/>
        <w:right w:val="none" w:sz="0" w:space="0" w:color="auto"/>
      </w:divBdr>
    </w:div>
    <w:div w:id="2032023479">
      <w:bodyDiv w:val="1"/>
      <w:marLeft w:val="0"/>
      <w:marRight w:val="0"/>
      <w:marTop w:val="0"/>
      <w:marBottom w:val="0"/>
      <w:divBdr>
        <w:top w:val="none" w:sz="0" w:space="0" w:color="auto"/>
        <w:left w:val="none" w:sz="0" w:space="0" w:color="auto"/>
        <w:bottom w:val="none" w:sz="0" w:space="0" w:color="auto"/>
        <w:right w:val="none" w:sz="0" w:space="0" w:color="auto"/>
      </w:divBdr>
      <w:divsChild>
        <w:div w:id="67387710">
          <w:marLeft w:val="0"/>
          <w:marRight w:val="0"/>
          <w:marTop w:val="240"/>
          <w:marBottom w:val="240"/>
          <w:divBdr>
            <w:top w:val="none" w:sz="0" w:space="0" w:color="auto"/>
            <w:left w:val="none" w:sz="0" w:space="0" w:color="auto"/>
            <w:bottom w:val="none" w:sz="0" w:space="0" w:color="auto"/>
            <w:right w:val="none" w:sz="0" w:space="0" w:color="auto"/>
          </w:divBdr>
          <w:divsChild>
            <w:div w:id="841041458">
              <w:marLeft w:val="0"/>
              <w:marRight w:val="0"/>
              <w:marTop w:val="0"/>
              <w:marBottom w:val="0"/>
              <w:divBdr>
                <w:top w:val="none" w:sz="0" w:space="0" w:color="auto"/>
                <w:left w:val="none" w:sz="0" w:space="0" w:color="auto"/>
                <w:bottom w:val="none" w:sz="0" w:space="0" w:color="auto"/>
                <w:right w:val="none" w:sz="0" w:space="0" w:color="auto"/>
              </w:divBdr>
            </w:div>
          </w:divsChild>
        </w:div>
        <w:div w:id="209153662">
          <w:marLeft w:val="0"/>
          <w:marRight w:val="0"/>
          <w:marTop w:val="0"/>
          <w:marBottom w:val="0"/>
          <w:divBdr>
            <w:top w:val="none" w:sz="0" w:space="0" w:color="auto"/>
            <w:left w:val="none" w:sz="0" w:space="0" w:color="auto"/>
            <w:bottom w:val="none" w:sz="0" w:space="0" w:color="auto"/>
            <w:right w:val="none" w:sz="0" w:space="0" w:color="auto"/>
          </w:divBdr>
          <w:divsChild>
            <w:div w:id="1988778765">
              <w:marLeft w:val="0"/>
              <w:marRight w:val="0"/>
              <w:marTop w:val="0"/>
              <w:marBottom w:val="0"/>
              <w:divBdr>
                <w:top w:val="none" w:sz="0" w:space="0" w:color="auto"/>
                <w:left w:val="none" w:sz="0" w:space="0" w:color="auto"/>
                <w:bottom w:val="none" w:sz="0" w:space="0" w:color="auto"/>
                <w:right w:val="none" w:sz="0" w:space="0" w:color="auto"/>
              </w:divBdr>
              <w:divsChild>
                <w:div w:id="342438278">
                  <w:marLeft w:val="1740"/>
                  <w:marRight w:val="0"/>
                  <w:marTop w:val="0"/>
                  <w:marBottom w:val="0"/>
                  <w:divBdr>
                    <w:top w:val="none" w:sz="0" w:space="0" w:color="auto"/>
                    <w:left w:val="none" w:sz="0" w:space="0" w:color="auto"/>
                    <w:bottom w:val="none" w:sz="0" w:space="0" w:color="auto"/>
                    <w:right w:val="none" w:sz="0" w:space="0" w:color="auto"/>
                  </w:divBdr>
                </w:div>
              </w:divsChild>
            </w:div>
            <w:div w:id="1299728805">
              <w:marLeft w:val="0"/>
              <w:marRight w:val="0"/>
              <w:marTop w:val="0"/>
              <w:marBottom w:val="0"/>
              <w:divBdr>
                <w:top w:val="none" w:sz="0" w:space="0" w:color="auto"/>
                <w:left w:val="none" w:sz="0" w:space="0" w:color="auto"/>
                <w:bottom w:val="none" w:sz="0" w:space="0" w:color="auto"/>
                <w:right w:val="none" w:sz="0" w:space="0" w:color="auto"/>
              </w:divBdr>
              <w:divsChild>
                <w:div w:id="390621744">
                  <w:marLeft w:val="1740"/>
                  <w:marRight w:val="0"/>
                  <w:marTop w:val="0"/>
                  <w:marBottom w:val="0"/>
                  <w:divBdr>
                    <w:top w:val="none" w:sz="0" w:space="0" w:color="auto"/>
                    <w:left w:val="none" w:sz="0" w:space="0" w:color="auto"/>
                    <w:bottom w:val="none" w:sz="0" w:space="0" w:color="auto"/>
                    <w:right w:val="none" w:sz="0" w:space="0" w:color="auto"/>
                  </w:divBdr>
                </w:div>
              </w:divsChild>
            </w:div>
            <w:div w:id="674461371">
              <w:marLeft w:val="0"/>
              <w:marRight w:val="0"/>
              <w:marTop w:val="0"/>
              <w:marBottom w:val="0"/>
              <w:divBdr>
                <w:top w:val="none" w:sz="0" w:space="0" w:color="auto"/>
                <w:left w:val="none" w:sz="0" w:space="0" w:color="auto"/>
                <w:bottom w:val="none" w:sz="0" w:space="0" w:color="auto"/>
                <w:right w:val="none" w:sz="0" w:space="0" w:color="auto"/>
              </w:divBdr>
              <w:divsChild>
                <w:div w:id="1341277743">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lhimetrorail.com/Phase-III_documetnt/pdf/61PH-III_DMRC_-Model.pdf" TargetMode="External"/><Relationship Id="rId12" Type="http://schemas.openxmlformats.org/officeDocument/2006/relationships/hyperlink" Target="http://www.delhimetrorail.com/OtherDocuments/EnglishAR201314Low.pdf" TargetMode="External"/><Relationship Id="rId13" Type="http://schemas.openxmlformats.org/officeDocument/2006/relationships/hyperlink" Target="http://www.itdp.in/wp-content/uploads/2014/11/NUTP-2014.pdf" TargetMode="External"/><Relationship Id="rId14" Type="http://schemas.openxmlformats.org/officeDocument/2006/relationships/hyperlink" Target="http://siteresources.worldbank.org/INTTRANSPORT/Resources/tp-18-walk-urban.pdf" TargetMode="External"/><Relationship Id="rId15" Type="http://schemas.openxmlformats.org/officeDocument/2006/relationships/hyperlink" Target="https://faculty.ozyegin.edu.tr/ayseo/files/2014/02/the-effects-of-street-configuration-on-transit-ridership.pdf" TargetMode="External"/><Relationship Id="rId16" Type="http://schemas.openxmlformats.org/officeDocument/2006/relationships/hyperlink" Target="http://timesofindia.indiatimes.com/city/delhi/Delhi-limps-behind-in-walkability-index/articleshow/5058302.cm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hidambara17@gmail.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13</Pages>
  <Words>6227</Words>
  <Characters>35496</Characters>
  <Application>Microsoft Macintosh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chidambara</dc:creator>
  <cp:lastModifiedBy>Apple</cp:lastModifiedBy>
  <cp:revision>79</cp:revision>
  <dcterms:created xsi:type="dcterms:W3CDTF">2015-05-24T08:00:00Z</dcterms:created>
  <dcterms:modified xsi:type="dcterms:W3CDTF">2015-05-31T14:41:00Z</dcterms:modified>
</cp:coreProperties>
</file>